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F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F3024E">
        <w:rPr>
          <w:rFonts w:ascii="Times New Roman" w:eastAsia="Times New Roman" w:hAnsi="Times New Roman" w:cs="Times New Roman"/>
          <w:b/>
          <w:sz w:val="24"/>
          <w:szCs w:val="24"/>
          <w:lang/>
        </w:rPr>
        <w:t>ЗАШТИТА ЖИВОТНЕ СРЕДИНЕ У ИНДУСТРИЈСКИМ ОБЈЕКТИМА</w:t>
      </w:r>
    </w:p>
    <w:p w:rsidR="00F3024E" w:rsidRPr="00F3024E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446E71" w:rsidRPr="002F4BB0" w:rsidRDefault="00446E71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Контролна листа: ЗАШТИТА ВАЗДУХА КОД </w:t>
      </w:r>
      <w:r w:rsidR="00EC4C79">
        <w:rPr>
          <w:rFonts w:ascii="Times New Roman" w:eastAsia="Times New Roman" w:hAnsi="Times New Roman" w:cs="Times New Roman"/>
          <w:b/>
          <w:sz w:val="24"/>
          <w:szCs w:val="24"/>
          <w:lang/>
        </w:rPr>
        <w:t>ТЕХНОЛОШКИХ ПОСТРОЈЕЊА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СА</w:t>
      </w:r>
      <w:r w:rsidRPr="002F4BB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402575">
        <w:rPr>
          <w:rFonts w:ascii="Times New Roman" w:eastAsia="Times New Roman" w:hAnsi="Times New Roman" w:cs="Times New Roman"/>
          <w:b/>
          <w:sz w:val="24"/>
          <w:szCs w:val="24"/>
          <w:lang/>
        </w:rPr>
        <w:t>КОНТИНУАЛН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/>
        </w:rPr>
        <w:t>ИМ МЕРЕЊЕМ</w:t>
      </w:r>
    </w:p>
    <w:p w:rsidR="005367FA" w:rsidRPr="005367FA" w:rsidRDefault="005367FA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/>
        </w:rPr>
        <w:t>Обавезе из Закона о заштити ваздуха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5367FA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постројења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која не спадају у постројења за сагоревање а на којима се врши </w:t>
      </w:r>
      <w:r w:rsidRPr="005367FA">
        <w:rPr>
          <w:rFonts w:ascii="Times New Roman" w:eastAsia="Times New Roman" w:hAnsi="Times New Roman" w:cs="Times New Roman"/>
          <w:sz w:val="24"/>
          <w:szCs w:val="24"/>
          <w:lang/>
        </w:rPr>
        <w:t>континуа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л</w:t>
      </w:r>
      <w:r w:rsidRPr="005367FA">
        <w:rPr>
          <w:rFonts w:ascii="Times New Roman" w:eastAsia="Times New Roman" w:hAnsi="Times New Roman" w:cs="Times New Roman"/>
          <w:sz w:val="24"/>
          <w:szCs w:val="24"/>
          <w:lang/>
        </w:rPr>
        <w:t>но мерење емисије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870285">
        <w:rPr>
          <w:rFonts w:ascii="Times New Roman" w:eastAsia="Times New Roman" w:hAnsi="Times New Roman" w:cs="Times New Roman"/>
          <w:sz w:val="24"/>
          <w:szCs w:val="24"/>
          <w:lang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дозвол</w:t>
      </w:r>
      <w:r w:rsidR="00870285">
        <w:rPr>
          <w:rFonts w:ascii="Times New Roman" w:eastAsia="Times New Roman" w:hAnsi="Times New Roman" w:cs="Times New Roman"/>
          <w:sz w:val="24"/>
          <w:szCs w:val="24"/>
          <w:lang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министарства</w:t>
      </w:r>
    </w:p>
    <w:p w:rsidR="00446E71" w:rsidRPr="002F4BB0" w:rsidRDefault="00446E71" w:rsidP="00F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/>
        </w:rPr>
      </w:pPr>
    </w:p>
    <w:p w:rsidR="00045F7B" w:rsidRPr="001A78E6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А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Општи подаци</w:t>
      </w:r>
    </w:p>
    <w:tbl>
      <w:tblPr>
        <w:tblStyle w:val="TableGrid"/>
        <w:tblW w:w="10710" w:type="dxa"/>
        <w:jc w:val="center"/>
        <w:tblLook w:val="04A0"/>
      </w:tblPr>
      <w:tblGrid>
        <w:gridCol w:w="5202"/>
        <w:gridCol w:w="5508"/>
      </w:tblGrid>
      <w:tr w:rsidR="00446E71" w:rsidRPr="002F4BB0" w:rsidTr="00FA315F">
        <w:trPr>
          <w:jc w:val="center"/>
        </w:trPr>
        <w:tc>
          <w:tcPr>
            <w:tcW w:w="10710" w:type="dxa"/>
            <w:gridSpan w:val="2"/>
          </w:tcPr>
          <w:p w:rsidR="00446E71" w:rsidRPr="002F4BB0" w:rsidRDefault="00446E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Подаци о опер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a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теру</w:t>
            </w: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оператера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пштина и место седишта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CC69D5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Матични број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ПИБ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Име особе за контакт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F3024E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Телефон и електронска адреса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контакт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особе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45F7B" w:rsidRPr="002F4BB0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постројења / ознака димњака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045F7B" w:rsidRPr="002F4BB0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 место постројења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446E71" w:rsidRPr="007B08C7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5F7B" w:rsidRPr="002F4BB0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Б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/>
        </w:rPr>
        <w:t>Статус правног лица, предузетника</w:t>
      </w:r>
    </w:p>
    <w:tbl>
      <w:tblPr>
        <w:tblStyle w:val="TableGrid"/>
        <w:tblW w:w="10710" w:type="dxa"/>
        <w:jc w:val="center"/>
        <w:tblLook w:val="04A0"/>
      </w:tblPr>
      <w:tblGrid>
        <w:gridCol w:w="8370"/>
        <w:gridCol w:w="2340"/>
      </w:tblGrid>
      <w:tr w:rsidR="00446E71" w:rsidRPr="002F4BB0" w:rsidTr="00FA315F">
        <w:trPr>
          <w:jc w:val="center"/>
        </w:trPr>
        <w:tc>
          <w:tcPr>
            <w:tcW w:w="10710" w:type="dxa"/>
            <w:gridSpan w:val="2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Статус правног лица, предузетника</w:t>
            </w:r>
          </w:p>
        </w:tc>
      </w:tr>
      <w:tr w:rsidR="007B5071" w:rsidRPr="002F4BB0" w:rsidTr="00E4574C">
        <w:trPr>
          <w:jc w:val="center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071" w:rsidRPr="00F428C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071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="00F3024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8749526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7B5071" w:rsidRPr="002F4BB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4637520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:rsidTr="00FA315F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:rsidR="00446E71" w:rsidRPr="002F4BB0" w:rsidRDefault="00CC69D5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12EE3" w:rsidRP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Када је</w:t>
            </w:r>
            <w:r w:rsidR="00212EE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одговор „НЕ“,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равно лице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предузетник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сматра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ју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  <w:lang/>
        </w:rPr>
      </w:pPr>
    </w:p>
    <w:p w:rsidR="00045F7B" w:rsidRPr="00045F7B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В</w:t>
      </w:r>
      <w:r>
        <w:rPr>
          <w:rFonts w:ascii="Times New Roman" w:hAnsi="Times New Roman" w:cs="Times New Roman"/>
          <w:sz w:val="24"/>
          <w:szCs w:val="24"/>
          <w:lang/>
        </w:rPr>
        <w:t>: Законске обавезе</w:t>
      </w:r>
      <w:r>
        <w:rPr>
          <w:rFonts w:ascii="Times New Roman" w:hAnsi="Times New Roman" w:cs="Times New Roman"/>
          <w:sz w:val="24"/>
          <w:szCs w:val="24"/>
          <w:lang/>
        </w:rPr>
        <w:t xml:space="preserve"> **</w:t>
      </w:r>
    </w:p>
    <w:tbl>
      <w:tblPr>
        <w:tblStyle w:val="TableGrid"/>
        <w:tblW w:w="10800" w:type="dxa"/>
        <w:tblInd w:w="-719" w:type="dxa"/>
        <w:tblLook w:val="04A0"/>
      </w:tblPr>
      <w:tblGrid>
        <w:gridCol w:w="517"/>
        <w:gridCol w:w="7823"/>
        <w:gridCol w:w="2460"/>
      </w:tblGrid>
      <w:tr w:rsidR="008147BB" w:rsidRPr="006617A1" w:rsidTr="00F3024E">
        <w:trPr>
          <w:cantSplit/>
        </w:trPr>
        <w:tc>
          <w:tcPr>
            <w:tcW w:w="10800" w:type="dxa"/>
            <w:gridSpan w:val="3"/>
          </w:tcPr>
          <w:p w:rsidR="008147BB" w:rsidRDefault="000158AC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</w:t>
            </w:r>
            <w:r w:rsidR="008147BB" w:rsidRPr="000548A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) Континуално мерење емисије (испуштања)</w:t>
            </w:r>
          </w:p>
        </w:tc>
      </w:tr>
      <w:tr w:rsidR="00875E2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271F0" w:rsidRPr="00212EE3" w:rsidRDefault="00A271F0" w:rsidP="00F3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</w:pP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прибављена сагласност министарства за континуална мерења емисије</w:t>
            </w:r>
            <w:r w:rsidR="000605A6" w:rsidRPr="00212EE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,</w:t>
            </w: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за све загађујуће материје </w:t>
            </w:r>
            <w:r w:rsidRPr="00212EE3">
              <w:rPr>
                <w:rFonts w:ascii="Times New Roman" w:hAnsi="Times New Roman" w:cs="Times New Roman"/>
                <w:sz w:val="24"/>
                <w:szCs w:val="24"/>
                <w:lang/>
              </w:rPr>
              <w:t>за које је прописано</w:t>
            </w:r>
            <w:r w:rsidRPr="00212EE3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 xml:space="preserve"> </w:t>
            </w:r>
          </w:p>
          <w:p w:rsidR="00C00C4F" w:rsidRPr="00FA315F" w:rsidRDefault="00C00C4F" w:rsidP="0037133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(Обавеза постоји када су прекорачени прописани масени протоци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(</w:t>
            </w:r>
            <w:r w:rsidR="00EE0792" w:rsidRPr="00EE0792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Изузеци од извршења обавезе </w:t>
            </w:r>
            <w:r w:rsidR="00EE0792" w:rsidRPr="00371337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су када</w:t>
            </w:r>
            <w:r w:rsidRPr="00371337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1)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у календарској години постројење ради мање од 500 часова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и за 2) загађујуће материје за које није прописана ГВЕ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0189466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1340082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8147BB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816025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875E2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47BB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је овлашћено лице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парамет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ре из прилога 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306869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7254977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147BB" w:rsidRPr="00FA315F" w:rsidRDefault="00DC51B8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60593198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у складу </w:t>
            </w:r>
            <w:r w:rsidRPr="006679B5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са процедуром обезбеђења поверења нивоа 2 („QAL 2”)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загађујуће материје и за све 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прилога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80770376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4875247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31467857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70816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је калибрација 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„QAL 2” процедуром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, извршена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у опсегу различитих оптерећења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постројења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и других услова рада 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пост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ројења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3893903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13338584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4849652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329727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37865811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7533526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су 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унете калибрационе криве</w:t>
            </w: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после испитивања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поступком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7460434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164592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98033900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F3024E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поступком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789253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5332499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37311458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А8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загађујуће материје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и </w:t>
            </w:r>
            <w:r w:rsidR="00D67D90" w:rsidRPr="00157A94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сви аутоматски уређаји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за пар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a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метре стања отпадног гаса (температура,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6960246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6257500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55939993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А9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Да ли постоји дневни, месечни и годишњи извештај о мерењу са следећим резултатима: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1)</w:t>
            </w: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годишњи просек средњих дневних вредности, 2) получасовне средње вредности и проценат који прекорачује 120 одсто ГВЕ, 3) број получасовних средњих вредности који прекорачује 200 одсто ГВЕ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5201105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4460798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43703943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Б</w:t>
            </w:r>
            <w:r w:rsidRPr="00054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) </w:t>
            </w:r>
            <w:r w:rsidRPr="00AB00E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Усклађеност са граничним вредностима емисије (ГВЕ)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314722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B1D9F" w:rsidRDefault="00ED7200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су у извештајима</w:t>
            </w:r>
            <w:r w:rsidR="00C00C4F" w:rsidRPr="0051021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965952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3269777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/>
              </w:rPr>
              <w:t>☐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према резултатима из извештаја о континуалном мерењу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1174873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40850902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/>
              </w:rPr>
              <w:t>☐</w:t>
            </w:r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В) Рад уређаја за смањивање емисије (испуштања)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27297882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8259980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/>
              </w:rPr>
              <w:t>☐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оператер у случају 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поремећаја технолошког процеса или квара уређаја за смањ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ивање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емисије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 одмах отклонио квар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поремећај,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прилагодио рад насталој околности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обуставио рад постројења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како би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емисиј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све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на дозвољене вредности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5116597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4318633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/>
              </w:rPr>
              <w:t>☐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147EA5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</w:pPr>
            <w:r w:rsidRPr="00147EA5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:rsidR="00C00C4F" w:rsidRPr="00147EA5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</w:pPr>
            <w:r w:rsidRPr="00310702">
              <w:rPr>
                <w:rFonts w:ascii="Times New Roman" w:eastAsia="TimesNewRoman" w:hAnsi="Times New Roman" w:cs="Times New Roman"/>
                <w:i/>
                <w:sz w:val="24"/>
                <w:szCs w:val="24"/>
                <w:lang/>
              </w:rPr>
              <w:t>(Обавеза постоји за масени проток од 1 до 3 kg/h)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147EA5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65762612"/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Pr="00147EA5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299194332"/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Pr="00787A46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09011403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147E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/>
              </w:rPr>
              <w:t>) Достава података државним органима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4A347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је</w:t>
            </w:r>
            <w:r w:rsidRPr="00F3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Агенцији,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односно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јединици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локалн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самоуправ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до 31.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достављен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Извештај о годишњем билансу емисија (односно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бразац број 2-Емисије у ваздух), </w:t>
            </w:r>
            <w:r w:rsidR="005F436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који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попуњен за све испусте отпадних гасова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4360890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1036138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82627286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Г2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314722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2202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нтинуалних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17626024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5487528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8465853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7B6DF1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је оператер достав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надлежном органу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покрајина или Агенција) све месечне и годишњи извештај аутоматског мерног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тромесечно а годишњи до 31. јануара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99399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264484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010531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  <w:r w:rsidRPr="004306AD">
              <w:rPr>
                <w:rFonts w:ascii="Times New Roman" w:hAnsi="Times New Roman" w:cs="Times New Roman"/>
                <w:sz w:val="24"/>
                <w:szCs w:val="24"/>
                <w:lang/>
              </w:rPr>
              <w:t>Нова и реконструисана постројења после 23.05.2009.године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постројења које је изграђено или реконструисано после 23.05.2009.године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0378265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9977525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0370807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B22F24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B1D9F" w:rsidRDefault="004C3399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717306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4118367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2862827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</w:tbl>
    <w:p w:rsidR="00E6032D" w:rsidRDefault="00E6032D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E14F8" w:rsidRPr="001E14F8" w:rsidRDefault="001E14F8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** </w:t>
      </w:r>
      <w:r w:rsidR="00850702">
        <w:rPr>
          <w:rFonts w:ascii="Times New Roman" w:hAnsi="Times New Roman" w:cs="Times New Roman"/>
          <w:sz w:val="24"/>
          <w:szCs w:val="24"/>
          <w:lang/>
        </w:rPr>
        <w:t>Не примењују се г</w:t>
      </w:r>
      <w:r w:rsidR="003B1AFE">
        <w:rPr>
          <w:rFonts w:ascii="Times New Roman" w:hAnsi="Times New Roman" w:cs="Times New Roman"/>
          <w:sz w:val="24"/>
          <w:szCs w:val="24"/>
          <w:lang/>
        </w:rPr>
        <w:t xml:space="preserve">раничне вредности емисије и масени протоци за </w:t>
      </w:r>
      <w:r w:rsidR="00EF1387">
        <w:rPr>
          <w:rFonts w:ascii="Times New Roman" w:hAnsi="Times New Roman" w:cs="Times New Roman"/>
          <w:sz w:val="24"/>
          <w:szCs w:val="24"/>
          <w:lang/>
        </w:rPr>
        <w:t xml:space="preserve">које се врше </w:t>
      </w:r>
      <w:r w:rsidR="003B1AFE">
        <w:rPr>
          <w:rFonts w:ascii="Times New Roman" w:hAnsi="Times New Roman" w:cs="Times New Roman"/>
          <w:sz w:val="24"/>
          <w:szCs w:val="24"/>
          <w:lang/>
        </w:rPr>
        <w:t xml:space="preserve">континуална мерења емисије из 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/>
        </w:rPr>
        <w:t>Уредб</w:t>
      </w:r>
      <w:r w:rsidR="003B1AFE">
        <w:rPr>
          <w:rFonts w:ascii="Times New Roman" w:eastAsia="Calibri" w:hAnsi="Times New Roman" w:cs="Times New Roman"/>
          <w:sz w:val="24"/>
          <w:szCs w:val="24"/>
          <w:lang/>
        </w:rPr>
        <w:t>е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/>
        </w:rPr>
        <w:t xml:space="preserve"> о граничним вредностима емисија загађујућих материја у ваздух из стационарних извора загађивања, осим постројења за сагоре</w:t>
      </w:r>
      <w:r w:rsidR="003B1AFE">
        <w:rPr>
          <w:rFonts w:ascii="Times New Roman" w:eastAsia="Calibri" w:hAnsi="Times New Roman" w:cs="Times New Roman"/>
          <w:sz w:val="24"/>
          <w:szCs w:val="24"/>
          <w:lang/>
        </w:rPr>
        <w:t>вање</w:t>
      </w:r>
      <w:r w:rsidR="00D24160">
        <w:rPr>
          <w:rFonts w:ascii="Times New Roman" w:eastAsia="Calibri" w:hAnsi="Times New Roman" w:cs="Times New Roman"/>
          <w:sz w:val="24"/>
          <w:szCs w:val="24"/>
          <w:lang/>
        </w:rPr>
        <w:t>,</w:t>
      </w:r>
      <w:r w:rsidR="00850702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D24160">
        <w:rPr>
          <w:rFonts w:ascii="Times New Roman" w:eastAsia="Calibri" w:hAnsi="Times New Roman" w:cs="Times New Roman"/>
          <w:sz w:val="24"/>
          <w:szCs w:val="24"/>
          <w:lang/>
        </w:rPr>
        <w:t>на</w:t>
      </w:r>
      <w:r w:rsidRPr="001E14F8">
        <w:rPr>
          <w:rFonts w:ascii="Times New Roman" w:hAnsi="Times New Roman" w:cs="Times New Roman"/>
          <w:sz w:val="24"/>
          <w:szCs w:val="24"/>
          <w:lang/>
        </w:rPr>
        <w:t>:</w:t>
      </w:r>
    </w:p>
    <w:p w:rsidR="00DE32EA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- </w:t>
      </w:r>
      <w:r w:rsidR="001E14F8" w:rsidRPr="004717CD">
        <w:rPr>
          <w:rFonts w:ascii="Times New Roman" w:hAnsi="Times New Roman" w:cs="Times New Roman"/>
          <w:sz w:val="24"/>
          <w:szCs w:val="24"/>
          <w:lang/>
        </w:rPr>
        <w:t xml:space="preserve">Поступке термичког третмана отпада и </w:t>
      </w:r>
    </w:p>
    <w:p w:rsidR="001E14F8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r w:rsidR="001E14F8" w:rsidRPr="004717CD">
        <w:rPr>
          <w:rFonts w:ascii="Times New Roman" w:hAnsi="Times New Roman" w:cs="Times New Roman"/>
          <w:sz w:val="24"/>
          <w:szCs w:val="24"/>
          <w:lang/>
        </w:rPr>
        <w:t xml:space="preserve">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</w:t>
      </w:r>
      <w:r w:rsidR="003B1AFE" w:rsidRPr="004717CD">
        <w:rPr>
          <w:rFonts w:ascii="Times New Roman" w:hAnsi="Times New Roman" w:cs="Times New Roman"/>
          <w:sz w:val="24"/>
          <w:szCs w:val="24"/>
          <w:lang/>
        </w:rPr>
        <w:t>и</w:t>
      </w:r>
      <w:r w:rsidR="001E14F8" w:rsidRPr="004717CD">
        <w:rPr>
          <w:rFonts w:ascii="Times New Roman" w:hAnsi="Times New Roman" w:cs="Times New Roman"/>
          <w:sz w:val="24"/>
          <w:szCs w:val="24"/>
          <w:lang/>
        </w:rPr>
        <w:t xml:space="preserve">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:rsidR="008147BB" w:rsidRPr="004717CD" w:rsidRDefault="008147BB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913" w:type="dxa"/>
        <w:tblInd w:w="-635" w:type="dxa"/>
        <w:tblLook w:val="04A0"/>
      </w:tblPr>
      <w:tblGrid>
        <w:gridCol w:w="3637"/>
        <w:gridCol w:w="3638"/>
        <w:gridCol w:w="3638"/>
      </w:tblGrid>
      <w:tr w:rsidR="002F4BB0" w:rsidRPr="006617A1" w:rsidTr="00B8386C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9B7A59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="00B8386C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оператера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3024E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9B7A59" w:rsidTr="00B8386C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F4BB0" w:rsidRPr="009B7A59" w:rsidTr="00B8386C">
        <w:trPr>
          <w:trHeight w:val="28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7B08C7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2F4BB0" w:rsidRPr="009B7A59" w:rsidTr="00B8386C">
        <w:trPr>
          <w:trHeight w:val="3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F4BB0" w:rsidRPr="009B7A59" w:rsidTr="00B8386C">
        <w:trPr>
          <w:trHeight w:val="22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F4BB0" w:rsidRPr="009B7A59" w:rsidTr="00A47E26"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D35A14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D35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F3024E" w:rsidTr="00B0057D">
        <w:trPr>
          <w:trHeight w:val="386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30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7B08C7" w:rsidRDefault="003B4215" w:rsidP="00F3024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/>
        </w:rPr>
      </w:pPr>
    </w:p>
    <w:sectPr w:rsidR="003B4215" w:rsidRPr="007B08C7" w:rsidSect="00954E60">
      <w:headerReference w:type="default" r:id="rId8"/>
      <w:footerReference w:type="default" r:id="rId9"/>
      <w:pgSz w:w="12240" w:h="15840" w:code="1"/>
      <w:pgMar w:top="1440" w:right="1440" w:bottom="1080" w:left="1440" w:header="39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32" w:rsidRDefault="00943C32" w:rsidP="002F4BB0">
      <w:pPr>
        <w:spacing w:after="0" w:line="240" w:lineRule="auto"/>
      </w:pPr>
      <w:r>
        <w:separator/>
      </w:r>
    </w:p>
  </w:endnote>
  <w:endnote w:type="continuationSeparator" w:id="0">
    <w:p w:rsidR="00943C32" w:rsidRDefault="00943C32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9329E7" w:rsidRDefault="005C417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4BB0" w:rsidRPr="00932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2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555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32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717CD">
          <w:rPr>
            <w:rFonts w:ascii="Times New Roman" w:hAnsi="Times New Roman" w:cs="Times New Roman"/>
            <w:noProof/>
            <w:sz w:val="24"/>
            <w:szCs w:val="24"/>
            <w:lang/>
          </w:rPr>
          <w:t>/3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32" w:rsidRDefault="00943C32" w:rsidP="002F4BB0">
      <w:pPr>
        <w:spacing w:after="0" w:line="240" w:lineRule="auto"/>
      </w:pPr>
      <w:r>
        <w:separator/>
      </w:r>
    </w:p>
  </w:footnote>
  <w:footnote w:type="continuationSeparator" w:id="0">
    <w:p w:rsidR="00943C32" w:rsidRDefault="00943C32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1281"/>
      <w:gridCol w:w="6515"/>
      <w:gridCol w:w="2734"/>
    </w:tblGrid>
    <w:tr w:rsidR="00A046D4" w:rsidRPr="00A046D4" w:rsidTr="00701377">
      <w:trPr>
        <w:trHeight w:val="1088"/>
      </w:trPr>
      <w:tc>
        <w:tcPr>
          <w:tcW w:w="990" w:type="dxa"/>
          <w:shd w:val="clear" w:color="auto" w:fill="auto"/>
        </w:tcPr>
        <w:p w:rsidR="00A046D4" w:rsidRPr="00A046D4" w:rsidRDefault="00DC4D4E" w:rsidP="00A046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166370</wp:posOffset>
                </wp:positionV>
                <wp:extent cx="676275" cy="609600"/>
                <wp:effectExtent l="0" t="0" r="0" b="0"/>
                <wp:wrapSquare wrapText="right"/>
                <wp:docPr id="5" name="Picture 5" descr="Description: razanj-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razanj-g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-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DC4D4E" w:rsidRPr="00DC4D4E" w:rsidRDefault="00DC4D4E" w:rsidP="00DC4D4E">
          <w:pPr>
            <w:spacing w:after="0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DC4D4E">
            <w:rPr>
              <w:rFonts w:ascii="Times New Roman" w:hAnsi="Times New Roman" w:cs="Times New Roman"/>
              <w:lang w:val="sr-Cyrl-CS"/>
            </w:rPr>
            <w:t>Република Србија</w:t>
          </w:r>
        </w:p>
        <w:p w:rsidR="00DC4D4E" w:rsidRPr="00DC4D4E" w:rsidRDefault="00DC4D4E" w:rsidP="00DC4D4E">
          <w:pPr>
            <w:spacing w:after="0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DC4D4E">
            <w:rPr>
              <w:rFonts w:ascii="Times New Roman" w:hAnsi="Times New Roman" w:cs="Times New Roman"/>
              <w:lang w:val="sr-Cyrl-CS"/>
            </w:rPr>
            <w:t>ОПШТИНА РАЖАЊ</w:t>
          </w:r>
        </w:p>
        <w:p w:rsidR="00DC4D4E" w:rsidRPr="00DC4D4E" w:rsidRDefault="00DC4D4E" w:rsidP="00DC4D4E">
          <w:pPr>
            <w:spacing w:after="0"/>
            <w:ind w:left="-4449" w:firstLine="4551"/>
            <w:jc w:val="both"/>
            <w:rPr>
              <w:rFonts w:ascii="Times New Roman" w:hAnsi="Times New Roman" w:cs="Times New Roman"/>
              <w:lang/>
            </w:rPr>
          </w:pPr>
          <w:r w:rsidRPr="00DC4D4E">
            <w:rPr>
              <w:rFonts w:ascii="Times New Roman" w:hAnsi="Times New Roman" w:cs="Times New Roman"/>
              <w:lang w:val="sr-Cyrl-CS"/>
            </w:rPr>
            <w:t>ОПШТИНСКА УПРАВА ОПШТИНЕ РАЖАЊ</w:t>
          </w:r>
        </w:p>
        <w:p w:rsidR="00DC4D4E" w:rsidRPr="00DC4D4E" w:rsidRDefault="00DC4D4E" w:rsidP="00DC4D4E">
          <w:pPr>
            <w:spacing w:after="0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DC4D4E">
            <w:rPr>
              <w:rFonts w:ascii="Times New Roman" w:hAnsi="Times New Roman" w:cs="Times New Roman"/>
              <w:lang w:val="sr-Cyrl-CS"/>
            </w:rPr>
            <w:t>Одсек за инспекцијске послове</w:t>
          </w:r>
        </w:p>
        <w:p w:rsidR="00A046D4" w:rsidRPr="00DC4D4E" w:rsidRDefault="00DC4D4E" w:rsidP="00DC4D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/>
            </w:rPr>
            <w:t xml:space="preserve">  </w:t>
          </w:r>
          <w:bookmarkStart w:id="0" w:name="_GoBack"/>
          <w:bookmarkEnd w:id="0"/>
          <w:r w:rsidRPr="00DC4D4E">
            <w:rPr>
              <w:rFonts w:ascii="Times New Roman" w:hAnsi="Times New Roman" w:cs="Times New Roman"/>
              <w:lang w:val="sr-Cyrl-C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A046D4" w:rsidRPr="00F85550" w:rsidRDefault="00D77BCA" w:rsidP="00F3024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Шифра: КЛ-04</w:t>
          </w:r>
          <w:r w:rsidR="00157A94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-02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/0</w:t>
          </w:r>
          <w:r w:rsidR="00F8555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6</w:t>
          </w:r>
        </w:p>
        <w:p w:rsidR="00A046D4" w:rsidRDefault="00B83D82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 xml:space="preserve">Датум: </w:t>
          </w:r>
          <w:r w:rsidR="00F8555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28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F8555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1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F85550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4</w:t>
          </w:r>
          <w:r w:rsidR="00B333E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:rsidR="00B56499" w:rsidRPr="00B56499" w:rsidRDefault="00B56499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/>
            </w:rPr>
          </w:pPr>
          <w:r w:rsidRPr="00B5649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/>
            </w:rPr>
            <w:t>ИНД</w:t>
          </w:r>
        </w:p>
      </w:tc>
    </w:tr>
  </w:tbl>
  <w:p w:rsidR="00912A52" w:rsidRDefault="00912A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641"/>
    <w:multiLevelType w:val="hybridMultilevel"/>
    <w:tmpl w:val="0196355C"/>
    <w:lvl w:ilvl="0" w:tplc="E8325FF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6E71"/>
    <w:rsid w:val="00004AAF"/>
    <w:rsid w:val="00006812"/>
    <w:rsid w:val="00007382"/>
    <w:rsid w:val="000158AC"/>
    <w:rsid w:val="0002693C"/>
    <w:rsid w:val="0004078C"/>
    <w:rsid w:val="00043D9A"/>
    <w:rsid w:val="00045F7B"/>
    <w:rsid w:val="000468C0"/>
    <w:rsid w:val="00050D2B"/>
    <w:rsid w:val="000543D0"/>
    <w:rsid w:val="000548AD"/>
    <w:rsid w:val="000605A6"/>
    <w:rsid w:val="000644C2"/>
    <w:rsid w:val="00075D4C"/>
    <w:rsid w:val="00084BB6"/>
    <w:rsid w:val="00091EFD"/>
    <w:rsid w:val="000940A8"/>
    <w:rsid w:val="0009524F"/>
    <w:rsid w:val="00095B9B"/>
    <w:rsid w:val="00096C08"/>
    <w:rsid w:val="000A409B"/>
    <w:rsid w:val="000A6E0E"/>
    <w:rsid w:val="000B5014"/>
    <w:rsid w:val="000C6E29"/>
    <w:rsid w:val="000D0380"/>
    <w:rsid w:val="000D0666"/>
    <w:rsid w:val="000D1C99"/>
    <w:rsid w:val="000D22E2"/>
    <w:rsid w:val="000F1D01"/>
    <w:rsid w:val="000F3D84"/>
    <w:rsid w:val="000F6AD6"/>
    <w:rsid w:val="0010311D"/>
    <w:rsid w:val="00103168"/>
    <w:rsid w:val="0010370B"/>
    <w:rsid w:val="00103BED"/>
    <w:rsid w:val="00103D92"/>
    <w:rsid w:val="00112369"/>
    <w:rsid w:val="0011473E"/>
    <w:rsid w:val="00121D8F"/>
    <w:rsid w:val="00123536"/>
    <w:rsid w:val="00126E44"/>
    <w:rsid w:val="001423BC"/>
    <w:rsid w:val="00142D35"/>
    <w:rsid w:val="00143EF9"/>
    <w:rsid w:val="001445B3"/>
    <w:rsid w:val="00145E49"/>
    <w:rsid w:val="00147EA5"/>
    <w:rsid w:val="00154E37"/>
    <w:rsid w:val="00156453"/>
    <w:rsid w:val="00157A94"/>
    <w:rsid w:val="00164820"/>
    <w:rsid w:val="00165BBB"/>
    <w:rsid w:val="001678FA"/>
    <w:rsid w:val="0017007B"/>
    <w:rsid w:val="00170614"/>
    <w:rsid w:val="0017115F"/>
    <w:rsid w:val="0017354F"/>
    <w:rsid w:val="001801F2"/>
    <w:rsid w:val="00184ED2"/>
    <w:rsid w:val="00187A07"/>
    <w:rsid w:val="00193DF0"/>
    <w:rsid w:val="00194EB3"/>
    <w:rsid w:val="00197985"/>
    <w:rsid w:val="001A0C5B"/>
    <w:rsid w:val="001B1E98"/>
    <w:rsid w:val="001C348A"/>
    <w:rsid w:val="001C460E"/>
    <w:rsid w:val="001C4DB5"/>
    <w:rsid w:val="001C55F8"/>
    <w:rsid w:val="001C7336"/>
    <w:rsid w:val="001D3D04"/>
    <w:rsid w:val="001E14F8"/>
    <w:rsid w:val="0020147F"/>
    <w:rsid w:val="00202B35"/>
    <w:rsid w:val="00212EE3"/>
    <w:rsid w:val="002179EF"/>
    <w:rsid w:val="0022559F"/>
    <w:rsid w:val="0023235B"/>
    <w:rsid w:val="00232F97"/>
    <w:rsid w:val="00234C0A"/>
    <w:rsid w:val="00252972"/>
    <w:rsid w:val="002608DD"/>
    <w:rsid w:val="00275D38"/>
    <w:rsid w:val="00276327"/>
    <w:rsid w:val="00277B4C"/>
    <w:rsid w:val="00292129"/>
    <w:rsid w:val="002924FC"/>
    <w:rsid w:val="00293081"/>
    <w:rsid w:val="00296BC5"/>
    <w:rsid w:val="00296FFF"/>
    <w:rsid w:val="002A50C5"/>
    <w:rsid w:val="002B0F34"/>
    <w:rsid w:val="002B7150"/>
    <w:rsid w:val="002D41DF"/>
    <w:rsid w:val="002E306A"/>
    <w:rsid w:val="002E629A"/>
    <w:rsid w:val="002F0CD6"/>
    <w:rsid w:val="002F4BB0"/>
    <w:rsid w:val="002F4E84"/>
    <w:rsid w:val="00303519"/>
    <w:rsid w:val="00310702"/>
    <w:rsid w:val="0031245E"/>
    <w:rsid w:val="00325149"/>
    <w:rsid w:val="00334972"/>
    <w:rsid w:val="00347E33"/>
    <w:rsid w:val="00350360"/>
    <w:rsid w:val="00353C28"/>
    <w:rsid w:val="00354C56"/>
    <w:rsid w:val="00360B0F"/>
    <w:rsid w:val="003611CC"/>
    <w:rsid w:val="00362814"/>
    <w:rsid w:val="0036284E"/>
    <w:rsid w:val="00363474"/>
    <w:rsid w:val="00371337"/>
    <w:rsid w:val="00373BF4"/>
    <w:rsid w:val="003A2A6E"/>
    <w:rsid w:val="003A3A5F"/>
    <w:rsid w:val="003A7A25"/>
    <w:rsid w:val="003B1AFE"/>
    <w:rsid w:val="003B4215"/>
    <w:rsid w:val="003C0610"/>
    <w:rsid w:val="003C4833"/>
    <w:rsid w:val="003C4900"/>
    <w:rsid w:val="003D0D7E"/>
    <w:rsid w:val="003E34EE"/>
    <w:rsid w:val="00402575"/>
    <w:rsid w:val="00406EA6"/>
    <w:rsid w:val="004306AD"/>
    <w:rsid w:val="00431091"/>
    <w:rsid w:val="00432F3C"/>
    <w:rsid w:val="0043646F"/>
    <w:rsid w:val="00445F16"/>
    <w:rsid w:val="00446E56"/>
    <w:rsid w:val="00446E71"/>
    <w:rsid w:val="004602AA"/>
    <w:rsid w:val="004717CD"/>
    <w:rsid w:val="0047216E"/>
    <w:rsid w:val="004759C7"/>
    <w:rsid w:val="004767D3"/>
    <w:rsid w:val="004779F4"/>
    <w:rsid w:val="004845A4"/>
    <w:rsid w:val="004A077C"/>
    <w:rsid w:val="004A0F61"/>
    <w:rsid w:val="004A347F"/>
    <w:rsid w:val="004A377E"/>
    <w:rsid w:val="004A3804"/>
    <w:rsid w:val="004A382C"/>
    <w:rsid w:val="004B0A6C"/>
    <w:rsid w:val="004C3399"/>
    <w:rsid w:val="004C5161"/>
    <w:rsid w:val="004C7515"/>
    <w:rsid w:val="004D0F32"/>
    <w:rsid w:val="004D332D"/>
    <w:rsid w:val="004D6784"/>
    <w:rsid w:val="004F260E"/>
    <w:rsid w:val="004F327F"/>
    <w:rsid w:val="004F3AA3"/>
    <w:rsid w:val="0050045D"/>
    <w:rsid w:val="005018F7"/>
    <w:rsid w:val="0051021A"/>
    <w:rsid w:val="00524A3E"/>
    <w:rsid w:val="00532ACF"/>
    <w:rsid w:val="005367FA"/>
    <w:rsid w:val="0055601B"/>
    <w:rsid w:val="00557D18"/>
    <w:rsid w:val="00562C01"/>
    <w:rsid w:val="005701E6"/>
    <w:rsid w:val="0059463D"/>
    <w:rsid w:val="0059725E"/>
    <w:rsid w:val="005A76E0"/>
    <w:rsid w:val="005C417E"/>
    <w:rsid w:val="005D29C7"/>
    <w:rsid w:val="005D79D5"/>
    <w:rsid w:val="005E1CE7"/>
    <w:rsid w:val="005E52B5"/>
    <w:rsid w:val="005E693E"/>
    <w:rsid w:val="005E78F6"/>
    <w:rsid w:val="005F208D"/>
    <w:rsid w:val="005F436E"/>
    <w:rsid w:val="00602EE0"/>
    <w:rsid w:val="006052E7"/>
    <w:rsid w:val="00613F21"/>
    <w:rsid w:val="006219C8"/>
    <w:rsid w:val="006242EE"/>
    <w:rsid w:val="00637470"/>
    <w:rsid w:val="00641653"/>
    <w:rsid w:val="0065544F"/>
    <w:rsid w:val="006617A1"/>
    <w:rsid w:val="006636DB"/>
    <w:rsid w:val="006649A1"/>
    <w:rsid w:val="00675921"/>
    <w:rsid w:val="0068771E"/>
    <w:rsid w:val="0069140D"/>
    <w:rsid w:val="00694B96"/>
    <w:rsid w:val="006A3054"/>
    <w:rsid w:val="006A50C2"/>
    <w:rsid w:val="006A51B7"/>
    <w:rsid w:val="006A5E63"/>
    <w:rsid w:val="006B3591"/>
    <w:rsid w:val="006C7431"/>
    <w:rsid w:val="006D7DF9"/>
    <w:rsid w:val="006F0A2D"/>
    <w:rsid w:val="006F7B00"/>
    <w:rsid w:val="0070307E"/>
    <w:rsid w:val="00705712"/>
    <w:rsid w:val="00723B00"/>
    <w:rsid w:val="007271B6"/>
    <w:rsid w:val="00731D24"/>
    <w:rsid w:val="007412D2"/>
    <w:rsid w:val="00741681"/>
    <w:rsid w:val="00774C1F"/>
    <w:rsid w:val="0077541C"/>
    <w:rsid w:val="00783BCF"/>
    <w:rsid w:val="00784903"/>
    <w:rsid w:val="00787A46"/>
    <w:rsid w:val="0079260D"/>
    <w:rsid w:val="00793DB8"/>
    <w:rsid w:val="0079687F"/>
    <w:rsid w:val="007977C1"/>
    <w:rsid w:val="007A360C"/>
    <w:rsid w:val="007A5FB7"/>
    <w:rsid w:val="007B08C7"/>
    <w:rsid w:val="007B0A7C"/>
    <w:rsid w:val="007B2C71"/>
    <w:rsid w:val="007B3B7C"/>
    <w:rsid w:val="007B4E73"/>
    <w:rsid w:val="007B5071"/>
    <w:rsid w:val="007B6DF1"/>
    <w:rsid w:val="007C38CB"/>
    <w:rsid w:val="007C4383"/>
    <w:rsid w:val="007C5AC1"/>
    <w:rsid w:val="007D4D78"/>
    <w:rsid w:val="007E69BF"/>
    <w:rsid w:val="007F13B1"/>
    <w:rsid w:val="00806B1E"/>
    <w:rsid w:val="00811D2F"/>
    <w:rsid w:val="008147BB"/>
    <w:rsid w:val="00817314"/>
    <w:rsid w:val="0082029B"/>
    <w:rsid w:val="00820F06"/>
    <w:rsid w:val="00823604"/>
    <w:rsid w:val="008238BD"/>
    <w:rsid w:val="0082687F"/>
    <w:rsid w:val="00831786"/>
    <w:rsid w:val="00833AEB"/>
    <w:rsid w:val="008358F9"/>
    <w:rsid w:val="008369FD"/>
    <w:rsid w:val="00840972"/>
    <w:rsid w:val="00850702"/>
    <w:rsid w:val="00863882"/>
    <w:rsid w:val="0086731C"/>
    <w:rsid w:val="00870285"/>
    <w:rsid w:val="00874FAD"/>
    <w:rsid w:val="00875E2F"/>
    <w:rsid w:val="00894451"/>
    <w:rsid w:val="008A1CA3"/>
    <w:rsid w:val="008A3BD1"/>
    <w:rsid w:val="008A5052"/>
    <w:rsid w:val="008B0162"/>
    <w:rsid w:val="008B239B"/>
    <w:rsid w:val="008B3223"/>
    <w:rsid w:val="008B359B"/>
    <w:rsid w:val="008B3C84"/>
    <w:rsid w:val="008C3E2F"/>
    <w:rsid w:val="008C5299"/>
    <w:rsid w:val="008D7674"/>
    <w:rsid w:val="008E7423"/>
    <w:rsid w:val="008E7E4A"/>
    <w:rsid w:val="00901830"/>
    <w:rsid w:val="00904B8F"/>
    <w:rsid w:val="00905315"/>
    <w:rsid w:val="00912A52"/>
    <w:rsid w:val="00916C26"/>
    <w:rsid w:val="009264F5"/>
    <w:rsid w:val="00931D1C"/>
    <w:rsid w:val="009329E7"/>
    <w:rsid w:val="00932E8C"/>
    <w:rsid w:val="00934191"/>
    <w:rsid w:val="009350A1"/>
    <w:rsid w:val="009358CE"/>
    <w:rsid w:val="00941EB2"/>
    <w:rsid w:val="0094291B"/>
    <w:rsid w:val="00943C32"/>
    <w:rsid w:val="00947136"/>
    <w:rsid w:val="00950460"/>
    <w:rsid w:val="00950F39"/>
    <w:rsid w:val="00954E60"/>
    <w:rsid w:val="0095672B"/>
    <w:rsid w:val="00961CFD"/>
    <w:rsid w:val="00965E48"/>
    <w:rsid w:val="00977922"/>
    <w:rsid w:val="009842BA"/>
    <w:rsid w:val="00993FBB"/>
    <w:rsid w:val="0099514E"/>
    <w:rsid w:val="009A0A5F"/>
    <w:rsid w:val="009A3F6E"/>
    <w:rsid w:val="009B15CF"/>
    <w:rsid w:val="009B1D8D"/>
    <w:rsid w:val="009B1E45"/>
    <w:rsid w:val="009B785B"/>
    <w:rsid w:val="009B7A59"/>
    <w:rsid w:val="009C2399"/>
    <w:rsid w:val="00A00F79"/>
    <w:rsid w:val="00A03D1B"/>
    <w:rsid w:val="00A046D4"/>
    <w:rsid w:val="00A0732E"/>
    <w:rsid w:val="00A271F0"/>
    <w:rsid w:val="00A30DA3"/>
    <w:rsid w:val="00A31024"/>
    <w:rsid w:val="00A33D26"/>
    <w:rsid w:val="00A40A76"/>
    <w:rsid w:val="00A41A6B"/>
    <w:rsid w:val="00A44471"/>
    <w:rsid w:val="00A47076"/>
    <w:rsid w:val="00A47E26"/>
    <w:rsid w:val="00A50144"/>
    <w:rsid w:val="00A75374"/>
    <w:rsid w:val="00A77A3A"/>
    <w:rsid w:val="00A86066"/>
    <w:rsid w:val="00A97709"/>
    <w:rsid w:val="00AB00E6"/>
    <w:rsid w:val="00AB1D67"/>
    <w:rsid w:val="00AB7F46"/>
    <w:rsid w:val="00AC05CE"/>
    <w:rsid w:val="00AC7061"/>
    <w:rsid w:val="00AD03F4"/>
    <w:rsid w:val="00AD4ED6"/>
    <w:rsid w:val="00AD7A70"/>
    <w:rsid w:val="00B0057D"/>
    <w:rsid w:val="00B025CD"/>
    <w:rsid w:val="00B12AB0"/>
    <w:rsid w:val="00B215B9"/>
    <w:rsid w:val="00B3156D"/>
    <w:rsid w:val="00B333EC"/>
    <w:rsid w:val="00B56499"/>
    <w:rsid w:val="00B568F7"/>
    <w:rsid w:val="00B60F45"/>
    <w:rsid w:val="00B613BE"/>
    <w:rsid w:val="00B62794"/>
    <w:rsid w:val="00B67348"/>
    <w:rsid w:val="00B74A02"/>
    <w:rsid w:val="00B8386C"/>
    <w:rsid w:val="00B83D82"/>
    <w:rsid w:val="00B84455"/>
    <w:rsid w:val="00B9194D"/>
    <w:rsid w:val="00B92C29"/>
    <w:rsid w:val="00B94CAA"/>
    <w:rsid w:val="00BA1C0B"/>
    <w:rsid w:val="00BB1117"/>
    <w:rsid w:val="00BB4709"/>
    <w:rsid w:val="00BD4A1A"/>
    <w:rsid w:val="00BD7B20"/>
    <w:rsid w:val="00BE28AA"/>
    <w:rsid w:val="00BE4329"/>
    <w:rsid w:val="00BE44A6"/>
    <w:rsid w:val="00BE5855"/>
    <w:rsid w:val="00BE65EE"/>
    <w:rsid w:val="00BF19E5"/>
    <w:rsid w:val="00BF5087"/>
    <w:rsid w:val="00BF73C3"/>
    <w:rsid w:val="00C00C4F"/>
    <w:rsid w:val="00C00DB2"/>
    <w:rsid w:val="00C17EF3"/>
    <w:rsid w:val="00C2202E"/>
    <w:rsid w:val="00C25F8A"/>
    <w:rsid w:val="00C35EDC"/>
    <w:rsid w:val="00C4167C"/>
    <w:rsid w:val="00C47F14"/>
    <w:rsid w:val="00C47FD2"/>
    <w:rsid w:val="00C51C04"/>
    <w:rsid w:val="00C64F89"/>
    <w:rsid w:val="00C678BE"/>
    <w:rsid w:val="00C70816"/>
    <w:rsid w:val="00C80585"/>
    <w:rsid w:val="00C9087A"/>
    <w:rsid w:val="00C925C2"/>
    <w:rsid w:val="00CA24BD"/>
    <w:rsid w:val="00CB06E2"/>
    <w:rsid w:val="00CB3971"/>
    <w:rsid w:val="00CB3C41"/>
    <w:rsid w:val="00CB6200"/>
    <w:rsid w:val="00CC07B2"/>
    <w:rsid w:val="00CC429D"/>
    <w:rsid w:val="00CC69D5"/>
    <w:rsid w:val="00CD6E15"/>
    <w:rsid w:val="00CE5837"/>
    <w:rsid w:val="00CE70CE"/>
    <w:rsid w:val="00CF2FAA"/>
    <w:rsid w:val="00D02020"/>
    <w:rsid w:val="00D02740"/>
    <w:rsid w:val="00D0293E"/>
    <w:rsid w:val="00D05A90"/>
    <w:rsid w:val="00D070DF"/>
    <w:rsid w:val="00D077A1"/>
    <w:rsid w:val="00D24160"/>
    <w:rsid w:val="00D35A14"/>
    <w:rsid w:val="00D62BD7"/>
    <w:rsid w:val="00D640BE"/>
    <w:rsid w:val="00D67D90"/>
    <w:rsid w:val="00D7045B"/>
    <w:rsid w:val="00D77BCA"/>
    <w:rsid w:val="00D92A5E"/>
    <w:rsid w:val="00D94811"/>
    <w:rsid w:val="00D960D4"/>
    <w:rsid w:val="00DA192E"/>
    <w:rsid w:val="00DB230D"/>
    <w:rsid w:val="00DC4D4E"/>
    <w:rsid w:val="00DC51B8"/>
    <w:rsid w:val="00DD1828"/>
    <w:rsid w:val="00DD4971"/>
    <w:rsid w:val="00DD4AFA"/>
    <w:rsid w:val="00DE32EA"/>
    <w:rsid w:val="00DE3BEB"/>
    <w:rsid w:val="00DE520E"/>
    <w:rsid w:val="00DF1E2B"/>
    <w:rsid w:val="00DF3EE3"/>
    <w:rsid w:val="00E024A0"/>
    <w:rsid w:val="00E03AE3"/>
    <w:rsid w:val="00E1073B"/>
    <w:rsid w:val="00E2228B"/>
    <w:rsid w:val="00E22328"/>
    <w:rsid w:val="00E31118"/>
    <w:rsid w:val="00E32AC5"/>
    <w:rsid w:val="00E33E4C"/>
    <w:rsid w:val="00E3565C"/>
    <w:rsid w:val="00E356CD"/>
    <w:rsid w:val="00E40F60"/>
    <w:rsid w:val="00E4276D"/>
    <w:rsid w:val="00E548B8"/>
    <w:rsid w:val="00E6032D"/>
    <w:rsid w:val="00E62968"/>
    <w:rsid w:val="00E72DD3"/>
    <w:rsid w:val="00E77961"/>
    <w:rsid w:val="00EA1F8B"/>
    <w:rsid w:val="00EA3CE8"/>
    <w:rsid w:val="00EB319C"/>
    <w:rsid w:val="00EB7208"/>
    <w:rsid w:val="00EB7E7E"/>
    <w:rsid w:val="00EC4C79"/>
    <w:rsid w:val="00EC6937"/>
    <w:rsid w:val="00EC7F40"/>
    <w:rsid w:val="00ED7200"/>
    <w:rsid w:val="00ED7E23"/>
    <w:rsid w:val="00EE0792"/>
    <w:rsid w:val="00EF1387"/>
    <w:rsid w:val="00F0239D"/>
    <w:rsid w:val="00F03261"/>
    <w:rsid w:val="00F16B66"/>
    <w:rsid w:val="00F25659"/>
    <w:rsid w:val="00F25685"/>
    <w:rsid w:val="00F27281"/>
    <w:rsid w:val="00F3024E"/>
    <w:rsid w:val="00F366F2"/>
    <w:rsid w:val="00F36E4D"/>
    <w:rsid w:val="00F428C0"/>
    <w:rsid w:val="00F46124"/>
    <w:rsid w:val="00F50B01"/>
    <w:rsid w:val="00F56623"/>
    <w:rsid w:val="00F624D3"/>
    <w:rsid w:val="00F67C71"/>
    <w:rsid w:val="00F70129"/>
    <w:rsid w:val="00F70948"/>
    <w:rsid w:val="00F71B0F"/>
    <w:rsid w:val="00F756F1"/>
    <w:rsid w:val="00F85550"/>
    <w:rsid w:val="00F8743F"/>
    <w:rsid w:val="00F93CF3"/>
    <w:rsid w:val="00F9567B"/>
    <w:rsid w:val="00F95DC9"/>
    <w:rsid w:val="00FA08F0"/>
    <w:rsid w:val="00FA315F"/>
    <w:rsid w:val="00FA4C6F"/>
    <w:rsid w:val="00FD4F80"/>
    <w:rsid w:val="00FE63D4"/>
    <w:rsid w:val="00FF0E8C"/>
    <w:rsid w:val="00FF1856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8B3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D8B4-0B15-4EC4-8EED-A1EE19AC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8</cp:revision>
  <dcterms:created xsi:type="dcterms:W3CDTF">2022-12-09T13:09:00Z</dcterms:created>
  <dcterms:modified xsi:type="dcterms:W3CDTF">2025-01-27T07:37:00Z</dcterms:modified>
</cp:coreProperties>
</file>