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7F" w:rsidRPr="00AE0171" w:rsidRDefault="009A297F" w:rsidP="00AE0171">
      <w:pPr>
        <w:tabs>
          <w:tab w:val="left" w:pos="358"/>
        </w:tabs>
        <w:spacing w:before="90"/>
        <w:ind w:right="122"/>
        <w:rPr>
          <w:rStyle w:val="markedcontent"/>
          <w:sz w:val="24"/>
          <w:szCs w:val="24"/>
        </w:rPr>
      </w:pP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Република Србија</w:t>
      </w: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ОПШТИНА РАЖАЊ</w:t>
      </w: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ПРЕДСЕДНИК ОПШТИНЕ</w:t>
      </w: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Комисија за спровођење конкурса,</w:t>
      </w: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Доделу средстава за финансирање, односно</w:t>
      </w:r>
    </w:p>
    <w:p w:rsidR="00CA46ED" w:rsidRPr="00CA46ED" w:rsidRDefault="00C54E32" w:rsidP="00CA46ED">
      <w:pPr>
        <w:widowControl/>
        <w:autoSpaceDE/>
        <w:autoSpaceDN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с</w:t>
      </w:r>
      <w:r w:rsidR="00CA46ED" w:rsidRPr="00CA46ED">
        <w:rPr>
          <w:rFonts w:eastAsiaTheme="minorHAnsi"/>
          <w:lang w:val="sr-Cyrl-RS"/>
        </w:rPr>
        <w:t>уфинансирање програма од јавног</w:t>
      </w:r>
    </w:p>
    <w:p w:rsidR="00CA46ED" w:rsidRPr="00CA46ED" w:rsidRDefault="00C54E32" w:rsidP="00CA46ED">
      <w:pPr>
        <w:widowControl/>
        <w:autoSpaceDE/>
        <w:autoSpaceDN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</w:t>
      </w:r>
      <w:r w:rsidR="00CA46ED" w:rsidRPr="00CA46ED">
        <w:rPr>
          <w:rFonts w:eastAsiaTheme="minorHAnsi"/>
          <w:lang w:val="sr-Cyrl-RS"/>
        </w:rPr>
        <w:t>нтереса који реализују удружења</w:t>
      </w:r>
    </w:p>
    <w:p w:rsidR="00CA46ED" w:rsidRPr="00CA46ED" w:rsidRDefault="0019499E" w:rsidP="00CA46ED">
      <w:pPr>
        <w:widowControl/>
        <w:autoSpaceDE/>
        <w:autoSpaceDN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Број: </w:t>
      </w:r>
      <w:r w:rsidR="00375E03">
        <w:rPr>
          <w:rFonts w:eastAsiaTheme="minorHAnsi"/>
          <w:lang w:val="sr-Latn-RS"/>
        </w:rPr>
        <w:t>553-77</w:t>
      </w:r>
      <w:r w:rsidR="00375E03">
        <w:rPr>
          <w:rFonts w:eastAsiaTheme="minorHAnsi"/>
          <w:lang w:val="sr-Cyrl-RS"/>
        </w:rPr>
        <w:t>/2</w:t>
      </w:r>
      <w:r w:rsidR="00375E03">
        <w:rPr>
          <w:rFonts w:eastAsiaTheme="minorHAnsi"/>
          <w:lang w:val="sr-Latn-RS"/>
        </w:rPr>
        <w:t>5</w:t>
      </w:r>
      <w:r w:rsidR="00CA46ED" w:rsidRPr="00CA46ED">
        <w:rPr>
          <w:rFonts w:eastAsiaTheme="minorHAnsi"/>
          <w:lang w:val="sr-Cyrl-RS"/>
        </w:rPr>
        <w:t>-01</w:t>
      </w:r>
    </w:p>
    <w:p w:rsidR="00CA46ED" w:rsidRPr="00744238" w:rsidRDefault="00375E03" w:rsidP="00CA46ED">
      <w:pPr>
        <w:widowControl/>
        <w:autoSpaceDE/>
        <w:autoSpaceDN/>
        <w:rPr>
          <w:rFonts w:eastAsiaTheme="minorHAnsi"/>
          <w:lang w:val="sr-Cyrl-RS"/>
        </w:rPr>
      </w:pPr>
      <w:r w:rsidRPr="00744238">
        <w:rPr>
          <w:rFonts w:eastAsiaTheme="minorHAnsi"/>
          <w:lang w:val="sr-Cyrl-RS"/>
        </w:rPr>
        <w:t>Датум:</w:t>
      </w:r>
      <w:r w:rsidR="00964113">
        <w:rPr>
          <w:rFonts w:eastAsiaTheme="minorHAnsi"/>
          <w:lang w:val="sr-Cyrl-RS"/>
        </w:rPr>
        <w:t>9</w:t>
      </w:r>
      <w:r w:rsidR="00744238" w:rsidRPr="00744238">
        <w:rPr>
          <w:rFonts w:eastAsiaTheme="minorHAnsi"/>
          <w:lang w:val="sr-Cyrl-RS"/>
        </w:rPr>
        <w:t>.5.</w:t>
      </w:r>
      <w:r w:rsidRPr="00744238">
        <w:rPr>
          <w:rFonts w:eastAsiaTheme="minorHAnsi"/>
          <w:lang w:val="sr-Cyrl-RS"/>
        </w:rPr>
        <w:t>2025</w:t>
      </w:r>
      <w:r w:rsidR="00CA46ED" w:rsidRPr="00744238">
        <w:rPr>
          <w:rFonts w:eastAsiaTheme="minorHAnsi"/>
          <w:lang w:val="sr-Cyrl-RS"/>
        </w:rPr>
        <w:t>. године</w:t>
      </w:r>
    </w:p>
    <w:p w:rsidR="00CA46ED" w:rsidRPr="00CA46ED" w:rsidRDefault="00CA46ED" w:rsidP="00CA46ED">
      <w:pPr>
        <w:widowControl/>
        <w:autoSpaceDE/>
        <w:autoSpaceDN/>
        <w:rPr>
          <w:rFonts w:eastAsiaTheme="minorHAnsi"/>
          <w:lang w:val="sr-Cyrl-RS"/>
        </w:rPr>
      </w:pPr>
      <w:r w:rsidRPr="00744238">
        <w:rPr>
          <w:rFonts w:eastAsiaTheme="minorHAnsi"/>
          <w:lang w:val="sr-Cyrl-RS"/>
        </w:rPr>
        <w:t>Р А Ж А Њ</w:t>
      </w:r>
    </w:p>
    <w:p w:rsidR="009A297F" w:rsidRPr="0045232E" w:rsidRDefault="00CA46ED" w:rsidP="0045232E">
      <w:pPr>
        <w:widowControl/>
        <w:autoSpaceDE/>
        <w:autoSpaceDN/>
        <w:rPr>
          <w:rStyle w:val="markedcontent"/>
          <w:rFonts w:eastAsiaTheme="minorHAnsi"/>
          <w:lang w:val="sr-Cyrl-RS"/>
        </w:rPr>
      </w:pPr>
      <w:r w:rsidRPr="00CA46ED">
        <w:rPr>
          <w:rFonts w:eastAsiaTheme="minorHAnsi"/>
          <w:lang w:val="sr-Cyrl-RS"/>
        </w:rPr>
        <w:t>Трг Светог Саве број 33.</w:t>
      </w:r>
    </w:p>
    <w:p w:rsidR="009A297F" w:rsidRPr="005730AC" w:rsidRDefault="00CA46ED" w:rsidP="0019499E">
      <w:pPr>
        <w:pStyle w:val="ListParagraph"/>
        <w:tabs>
          <w:tab w:val="left" w:pos="358"/>
          <w:tab w:val="left" w:pos="3944"/>
        </w:tabs>
        <w:spacing w:before="90"/>
        <w:ind w:left="398" w:right="122"/>
        <w:jc w:val="center"/>
        <w:rPr>
          <w:rStyle w:val="markedcontent"/>
          <w:sz w:val="20"/>
          <w:szCs w:val="20"/>
          <w:lang w:val="sr-Cyrl-RS"/>
        </w:rPr>
      </w:pPr>
      <w:r w:rsidRPr="005730AC">
        <w:rPr>
          <w:rStyle w:val="markedcontent"/>
          <w:sz w:val="20"/>
          <w:szCs w:val="20"/>
          <w:lang w:val="sr-Cyrl-RS"/>
        </w:rPr>
        <w:t>ЗАПИСНИК</w:t>
      </w:r>
    </w:p>
    <w:p w:rsidR="00CA46ED" w:rsidRPr="005730AC" w:rsidRDefault="00CA46ED" w:rsidP="0019499E">
      <w:pPr>
        <w:pStyle w:val="ListParagraph"/>
        <w:tabs>
          <w:tab w:val="left" w:pos="358"/>
          <w:tab w:val="left" w:pos="3944"/>
        </w:tabs>
        <w:spacing w:before="90"/>
        <w:ind w:left="398" w:right="122"/>
        <w:rPr>
          <w:rStyle w:val="markedcontent"/>
          <w:b/>
          <w:sz w:val="20"/>
          <w:szCs w:val="20"/>
          <w:u w:val="single"/>
          <w:lang w:val="sr-Cyrl-RS"/>
        </w:rPr>
      </w:pPr>
      <w:r w:rsidRPr="005730AC">
        <w:rPr>
          <w:rStyle w:val="markedcontent"/>
          <w:sz w:val="20"/>
          <w:szCs w:val="20"/>
          <w:lang w:val="sr-Cyrl-RS"/>
        </w:rPr>
        <w:t xml:space="preserve">СА ОДРЖАНЕ СЕДНИЦЕ КОМИСИЈЕ ЗА СПРОВОЂЕЊЕ КОНКУРСА ЗА ФИНАНСИРАЊЕ ПРОГРАМА </w:t>
      </w:r>
      <w:r w:rsidR="00F004A5" w:rsidRPr="005730AC">
        <w:rPr>
          <w:rStyle w:val="markedcontent"/>
          <w:sz w:val="20"/>
          <w:szCs w:val="20"/>
          <w:lang w:val="sr-Cyrl-RS"/>
        </w:rPr>
        <w:t>У ОБЛАСТИ СОЦИЈАЛНЕ ЗАШТИТЕ, БОРАЧКО-ИНВАЛИДСКЕ ЗАШТИТЕ, ЗАШТИТЕ ЛИЦА СА ИНВАЛИДИТЕТОМ, ЗДРАВСТВЕНЕ ЗАШТИТЕ, ДРУШТВЕНЕ БРИГЕ О ДЕЦИ, ПОДСТИЦАЊЕ НАТАЛИТЕТА, ПОМОЋИ СТАРИМА, ЗАШТИТЕ И ПРОМОВИСАЊА</w:t>
      </w:r>
      <w:r w:rsidR="00051D28" w:rsidRPr="005730AC">
        <w:rPr>
          <w:rStyle w:val="markedcontent"/>
          <w:sz w:val="20"/>
          <w:szCs w:val="20"/>
          <w:lang w:val="sr-Cyrl-RS"/>
        </w:rPr>
        <w:t xml:space="preserve"> </w:t>
      </w:r>
      <w:r w:rsidR="00F004A5" w:rsidRPr="005730AC">
        <w:rPr>
          <w:rStyle w:val="markedcontent"/>
          <w:sz w:val="20"/>
          <w:szCs w:val="20"/>
          <w:lang w:val="sr-Cyrl-RS"/>
        </w:rPr>
        <w:t>ЉУДСКИХ И МАЊИНСКИХ ПРАВА, НАУКА, ОБРАЗОВАЊА, ЗАШТИТЕ ЖИВОТИЊА, ОДРЖИВОГ РАЗВОЈА, ЗАШТИТЕ ПОТРОШАЧА, БОРБЕ ПРОТИВ КОРУПЦИЈЕ, АФИРМИСАЊА РАВНОПРАВНОСТИ ПОЛОВА, ПРОГРАМИ И ПРОЈЕКТИ ЗА МЛАДЕ, ХУМАНИТАРНИ ПРОГРАМИ И ДРУГИ САДРЖАЈИ КОЈИ ДОПРИНОСЕ УБРЗАНОМ РАЗВОЈУ ОПШТИНЕ РАЖАЊ И АФИРМАЦИЈИ ГРАЂАНСКОГ АКТИВИЗМА</w:t>
      </w:r>
      <w:r w:rsidR="00583A74" w:rsidRPr="005730AC">
        <w:rPr>
          <w:rStyle w:val="markedcontent"/>
          <w:sz w:val="20"/>
          <w:szCs w:val="20"/>
          <w:lang w:val="sr-Cyrl-RS"/>
        </w:rPr>
        <w:t xml:space="preserve"> </w:t>
      </w:r>
    </w:p>
    <w:p w:rsidR="009A297F" w:rsidRPr="005730AC" w:rsidRDefault="009A297F" w:rsidP="00CA46ED">
      <w:pPr>
        <w:tabs>
          <w:tab w:val="left" w:pos="358"/>
        </w:tabs>
        <w:spacing w:before="90"/>
        <w:ind w:right="122"/>
        <w:rPr>
          <w:rStyle w:val="markedcontent"/>
          <w:sz w:val="20"/>
          <w:szCs w:val="20"/>
          <w:lang w:val="ru-RU"/>
        </w:rPr>
      </w:pPr>
    </w:p>
    <w:p w:rsidR="00CA46ED" w:rsidRDefault="009A297F" w:rsidP="00583A74">
      <w:pPr>
        <w:pStyle w:val="ListParagraph"/>
        <w:tabs>
          <w:tab w:val="left" w:pos="358"/>
        </w:tabs>
        <w:ind w:left="398" w:right="122"/>
        <w:rPr>
          <w:rStyle w:val="markedcontent"/>
          <w:sz w:val="24"/>
          <w:szCs w:val="24"/>
          <w:lang w:val="sr-Cyrl-RS"/>
        </w:rPr>
      </w:pPr>
      <w:r w:rsidRPr="001812F1">
        <w:rPr>
          <w:rStyle w:val="markedcontent"/>
          <w:sz w:val="24"/>
          <w:szCs w:val="24"/>
          <w:lang w:val="ru-RU"/>
        </w:rPr>
        <w:t xml:space="preserve">Комисија, </w:t>
      </w:r>
      <w:r w:rsidR="00CA46ED">
        <w:rPr>
          <w:rStyle w:val="markedcontent"/>
          <w:sz w:val="24"/>
          <w:szCs w:val="24"/>
          <w:lang w:val="sr-Cyrl-RS"/>
        </w:rPr>
        <w:t xml:space="preserve">у саставу </w:t>
      </w:r>
      <w:r w:rsidR="00F004A5">
        <w:rPr>
          <w:rStyle w:val="markedcontent"/>
          <w:sz w:val="24"/>
          <w:szCs w:val="24"/>
          <w:lang w:val="sr-Cyrl-RS"/>
        </w:rPr>
        <w:t>Ивана Пејовић</w:t>
      </w:r>
      <w:r w:rsidR="00CA46ED">
        <w:rPr>
          <w:rStyle w:val="markedcontent"/>
          <w:sz w:val="24"/>
          <w:szCs w:val="24"/>
          <w:lang w:val="sr-Cyrl-RS"/>
        </w:rPr>
        <w:t xml:space="preserve">, председник </w:t>
      </w:r>
      <w:r w:rsidR="00F004A5">
        <w:rPr>
          <w:rStyle w:val="markedcontent"/>
          <w:sz w:val="24"/>
          <w:szCs w:val="24"/>
          <w:lang w:val="sr-Cyrl-RS"/>
        </w:rPr>
        <w:t>комисије, Марија Ракић</w:t>
      </w:r>
      <w:r w:rsidR="00CA46ED">
        <w:rPr>
          <w:rStyle w:val="markedcontent"/>
          <w:sz w:val="24"/>
          <w:szCs w:val="24"/>
          <w:lang w:val="sr-Cyrl-RS"/>
        </w:rPr>
        <w:t xml:space="preserve">, члан и </w:t>
      </w:r>
      <w:r w:rsidR="00F004A5">
        <w:rPr>
          <w:rStyle w:val="markedcontent"/>
          <w:sz w:val="24"/>
          <w:szCs w:val="24"/>
          <w:lang w:val="sr-Cyrl-RS"/>
        </w:rPr>
        <w:t>Ивана Величковић</w:t>
      </w:r>
      <w:r w:rsidR="00CA46ED">
        <w:rPr>
          <w:rStyle w:val="markedcontent"/>
          <w:sz w:val="24"/>
          <w:szCs w:val="24"/>
          <w:lang w:val="sr-Cyrl-RS"/>
        </w:rPr>
        <w:t>,</w:t>
      </w:r>
      <w:r w:rsidR="003757A3">
        <w:rPr>
          <w:rStyle w:val="markedcontent"/>
          <w:sz w:val="24"/>
          <w:szCs w:val="24"/>
          <w:lang w:val="sr-Cyrl-RS"/>
        </w:rPr>
        <w:t xml:space="preserve"> члан, отпочела је са радом у 11</w:t>
      </w:r>
      <w:r w:rsidR="00CA46ED">
        <w:rPr>
          <w:rStyle w:val="markedcontent"/>
          <w:sz w:val="24"/>
          <w:szCs w:val="24"/>
          <w:lang w:val="sr-Cyrl-RS"/>
        </w:rPr>
        <w:t>,00 часова</w:t>
      </w:r>
      <w:r w:rsidR="003757A3">
        <w:rPr>
          <w:rStyle w:val="markedcontent"/>
          <w:sz w:val="24"/>
          <w:szCs w:val="24"/>
          <w:lang w:val="sr-Cyrl-RS"/>
        </w:rPr>
        <w:t>,</w:t>
      </w:r>
      <w:r w:rsidR="00CA46ED">
        <w:rPr>
          <w:rStyle w:val="markedcontent"/>
          <w:sz w:val="24"/>
          <w:szCs w:val="24"/>
          <w:lang w:val="sr-Cyrl-RS"/>
        </w:rPr>
        <w:t xml:space="preserve"> дана</w:t>
      </w:r>
      <w:r w:rsidR="003757A3">
        <w:rPr>
          <w:rStyle w:val="markedcontent"/>
          <w:sz w:val="24"/>
          <w:szCs w:val="24"/>
          <w:lang w:val="sr-Cyrl-RS"/>
        </w:rPr>
        <w:t xml:space="preserve"> 28. априла 2025</w:t>
      </w:r>
      <w:r w:rsidR="00CA46ED">
        <w:rPr>
          <w:rStyle w:val="markedcontent"/>
          <w:sz w:val="24"/>
          <w:szCs w:val="24"/>
          <w:lang w:val="sr-Cyrl-RS"/>
        </w:rPr>
        <w:t>.</w:t>
      </w:r>
    </w:p>
    <w:p w:rsidR="000F7A41" w:rsidRPr="004668FB" w:rsidRDefault="0073271B" w:rsidP="004668FB">
      <w:pPr>
        <w:pStyle w:val="ListParagraph"/>
        <w:tabs>
          <w:tab w:val="left" w:pos="358"/>
        </w:tabs>
        <w:ind w:left="398" w:right="122"/>
        <w:rPr>
          <w:rStyle w:val="markedcontent"/>
          <w:sz w:val="24"/>
          <w:szCs w:val="24"/>
          <w:lang w:val="sr-Latn-RS"/>
        </w:rPr>
      </w:pPr>
      <w:r>
        <w:rPr>
          <w:rStyle w:val="markedcontent"/>
          <w:sz w:val="24"/>
          <w:szCs w:val="24"/>
          <w:lang w:val="sr-Cyrl-RS"/>
        </w:rPr>
        <w:t>Председница</w:t>
      </w:r>
      <w:r w:rsidR="00CA46ED">
        <w:rPr>
          <w:rStyle w:val="markedcontent"/>
          <w:sz w:val="24"/>
          <w:szCs w:val="24"/>
          <w:lang w:val="sr-Cyrl-RS"/>
        </w:rPr>
        <w:t xml:space="preserve"> </w:t>
      </w:r>
      <w:r w:rsidR="00CA46ED" w:rsidRPr="004668FB">
        <w:rPr>
          <w:rStyle w:val="markedcontent"/>
          <w:sz w:val="24"/>
          <w:szCs w:val="24"/>
          <w:lang w:val="sr-Cyrl-RS"/>
        </w:rPr>
        <w:t>Комисије је непосредним увидом у изјаве чланова Комисије</w:t>
      </w:r>
      <w:r w:rsidR="007A5EA3" w:rsidRPr="004668FB">
        <w:rPr>
          <w:rStyle w:val="markedcontent"/>
          <w:sz w:val="24"/>
          <w:szCs w:val="24"/>
          <w:lang w:val="sr-Latn-RS"/>
        </w:rPr>
        <w:t xml:space="preserve"> </w:t>
      </w:r>
      <w:r w:rsidR="000F7A41" w:rsidRPr="004668FB">
        <w:rPr>
          <w:rStyle w:val="markedcontent"/>
          <w:sz w:val="24"/>
          <w:szCs w:val="24"/>
          <w:lang w:val="ru-RU"/>
        </w:rPr>
        <w:t xml:space="preserve">константовала </w:t>
      </w:r>
      <w:r w:rsidR="000F7A41" w:rsidRPr="004668FB">
        <w:rPr>
          <w:rStyle w:val="markedcontent"/>
          <w:sz w:val="24"/>
          <w:szCs w:val="24"/>
          <w:lang w:val="sr-Cyrl-RS"/>
        </w:rPr>
        <w:t xml:space="preserve">да су сви чланови потписали </w:t>
      </w:r>
      <w:r w:rsidR="009A297F" w:rsidRPr="004668FB">
        <w:rPr>
          <w:rStyle w:val="markedcontent"/>
          <w:sz w:val="24"/>
          <w:szCs w:val="24"/>
          <w:lang w:val="ru-RU"/>
        </w:rPr>
        <w:t xml:space="preserve"> изјав</w:t>
      </w:r>
      <w:r w:rsidR="004668FB">
        <w:rPr>
          <w:rStyle w:val="markedcontent"/>
          <w:sz w:val="24"/>
          <w:szCs w:val="24"/>
          <w:lang w:val="ru-RU"/>
        </w:rPr>
        <w:t>у</w:t>
      </w:r>
      <w:r w:rsidR="000F7A41" w:rsidRPr="004668FB">
        <w:rPr>
          <w:rStyle w:val="markedcontent"/>
          <w:sz w:val="24"/>
          <w:szCs w:val="24"/>
          <w:lang w:val="ru-RU"/>
        </w:rPr>
        <w:t xml:space="preserve"> о непостојању сукоба интереса.</w:t>
      </w:r>
    </w:p>
    <w:p w:rsidR="000F7A41" w:rsidRDefault="005730AC" w:rsidP="001D0D32">
      <w:pPr>
        <w:pStyle w:val="ListParagraph"/>
        <w:tabs>
          <w:tab w:val="left" w:pos="358"/>
        </w:tabs>
        <w:ind w:left="398" w:right="122"/>
        <w:rPr>
          <w:rStyle w:val="markedcontent"/>
          <w:sz w:val="24"/>
          <w:szCs w:val="24"/>
          <w:lang w:val="sr-Cyrl-RS"/>
        </w:rPr>
      </w:pPr>
      <w:r>
        <w:rPr>
          <w:rStyle w:val="markedcontent"/>
          <w:sz w:val="24"/>
          <w:szCs w:val="24"/>
          <w:lang w:val="sr-Cyrl-RS"/>
        </w:rPr>
        <w:t xml:space="preserve">По расписаном </w:t>
      </w:r>
      <w:r w:rsidR="00F004A5">
        <w:rPr>
          <w:rStyle w:val="markedcontent"/>
          <w:sz w:val="24"/>
          <w:szCs w:val="24"/>
          <w:lang w:val="sr-Cyrl-RS"/>
        </w:rPr>
        <w:t>конкурсу</w:t>
      </w:r>
      <w:r>
        <w:rPr>
          <w:rStyle w:val="markedcontent"/>
          <w:sz w:val="24"/>
          <w:szCs w:val="24"/>
          <w:lang w:val="sr-Cyrl-RS"/>
        </w:rPr>
        <w:t xml:space="preserve"> се</w:t>
      </w:r>
      <w:r w:rsidR="00F004A5">
        <w:rPr>
          <w:rStyle w:val="markedcontent"/>
          <w:sz w:val="24"/>
          <w:szCs w:val="24"/>
          <w:lang w:val="sr-Cyrl-RS"/>
        </w:rPr>
        <w:t xml:space="preserve"> пријавило </w:t>
      </w:r>
      <w:r w:rsidR="001D0D32">
        <w:rPr>
          <w:rStyle w:val="markedcontent"/>
          <w:sz w:val="24"/>
          <w:szCs w:val="24"/>
          <w:lang w:val="sr-Cyrl-RS"/>
        </w:rPr>
        <w:t>4 (четири)</w:t>
      </w:r>
      <w:r w:rsidR="00F004A5">
        <w:rPr>
          <w:rStyle w:val="markedcontent"/>
          <w:sz w:val="24"/>
          <w:szCs w:val="24"/>
          <w:lang w:val="sr-Cyrl-RS"/>
        </w:rPr>
        <w:t xml:space="preserve"> удружења.</w:t>
      </w:r>
    </w:p>
    <w:p w:rsidR="0073271B" w:rsidRDefault="0073271B" w:rsidP="00E92F5C">
      <w:pPr>
        <w:pStyle w:val="ListParagraph"/>
        <w:tabs>
          <w:tab w:val="left" w:pos="358"/>
        </w:tabs>
        <w:ind w:left="398" w:right="122"/>
        <w:jc w:val="left"/>
        <w:rPr>
          <w:rStyle w:val="markedcontent"/>
          <w:sz w:val="24"/>
          <w:szCs w:val="24"/>
          <w:lang w:val="sr-Cyrl-RS"/>
        </w:rPr>
      </w:pPr>
    </w:p>
    <w:p w:rsidR="00B711BA" w:rsidRDefault="001D0D32" w:rsidP="00E92F5C">
      <w:pPr>
        <w:pStyle w:val="ListParagraph"/>
        <w:tabs>
          <w:tab w:val="left" w:pos="358"/>
        </w:tabs>
        <w:ind w:left="398" w:right="122"/>
        <w:jc w:val="left"/>
        <w:rPr>
          <w:rStyle w:val="markedcontent"/>
          <w:sz w:val="24"/>
          <w:szCs w:val="24"/>
          <w:lang w:val="sr-Cyrl-RS"/>
        </w:rPr>
      </w:pPr>
      <w:r>
        <w:rPr>
          <w:rStyle w:val="markedcontent"/>
          <w:sz w:val="24"/>
          <w:szCs w:val="24"/>
          <w:lang w:val="sr-Cyrl-RS"/>
        </w:rPr>
        <w:t>Комисија је приступила</w:t>
      </w:r>
      <w:r w:rsidR="00E82870">
        <w:rPr>
          <w:rStyle w:val="markedcontent"/>
          <w:sz w:val="24"/>
          <w:szCs w:val="24"/>
          <w:lang w:val="sr-Cyrl-RS"/>
        </w:rPr>
        <w:t xml:space="preserve"> </w:t>
      </w:r>
      <w:r w:rsidR="005730AC">
        <w:rPr>
          <w:rStyle w:val="markedcontent"/>
          <w:sz w:val="24"/>
          <w:szCs w:val="24"/>
          <w:lang w:val="sr-Cyrl-RS"/>
        </w:rPr>
        <w:t>отварању</w:t>
      </w:r>
      <w:r w:rsidR="00E82870">
        <w:rPr>
          <w:rStyle w:val="markedcontent"/>
          <w:sz w:val="24"/>
          <w:szCs w:val="24"/>
          <w:lang w:val="sr-Cyrl-RS"/>
        </w:rPr>
        <w:t xml:space="preserve"> коверти</w:t>
      </w:r>
      <w:r w:rsidR="00991600">
        <w:rPr>
          <w:rStyle w:val="markedcontent"/>
          <w:sz w:val="24"/>
          <w:szCs w:val="24"/>
          <w:lang w:val="sr-Cyrl-RS"/>
        </w:rPr>
        <w:t xml:space="preserve"> са пријавама </w:t>
      </w:r>
      <w:r w:rsidR="000F7A41">
        <w:rPr>
          <w:rStyle w:val="markedcontent"/>
          <w:sz w:val="24"/>
          <w:szCs w:val="24"/>
          <w:lang w:val="sr-Cyrl-RS"/>
        </w:rPr>
        <w:t>и константовала</w:t>
      </w:r>
      <w:r w:rsidR="00991600">
        <w:rPr>
          <w:rStyle w:val="markedcontent"/>
          <w:sz w:val="24"/>
          <w:szCs w:val="24"/>
          <w:lang w:val="sr-Cyrl-RS"/>
        </w:rPr>
        <w:t xml:space="preserve"> да су све пријаве благовремене</w:t>
      </w:r>
      <w:r w:rsidR="00161EC7">
        <w:rPr>
          <w:rStyle w:val="markedcontent"/>
          <w:sz w:val="24"/>
          <w:szCs w:val="24"/>
          <w:lang w:val="sr-Cyrl-RS"/>
        </w:rPr>
        <w:t xml:space="preserve">, пристигле до истека рока за подношење понуда, односно до </w:t>
      </w:r>
      <w:r w:rsidR="00A3034F">
        <w:rPr>
          <w:rStyle w:val="markedcontent"/>
          <w:sz w:val="24"/>
          <w:szCs w:val="24"/>
          <w:lang w:val="sr-Cyrl-RS"/>
        </w:rPr>
        <w:t>8. априла 2025.године</w:t>
      </w:r>
      <w:r w:rsidR="000F7A41">
        <w:rPr>
          <w:rStyle w:val="markedcontent"/>
          <w:sz w:val="24"/>
          <w:szCs w:val="24"/>
          <w:lang w:val="sr-Cyrl-RS"/>
        </w:rPr>
        <w:t xml:space="preserve">. </w:t>
      </w:r>
    </w:p>
    <w:p w:rsidR="00C70BFA" w:rsidRDefault="00C70BFA" w:rsidP="00E92F5C">
      <w:pPr>
        <w:pStyle w:val="ListParagraph"/>
        <w:tabs>
          <w:tab w:val="left" w:pos="358"/>
        </w:tabs>
        <w:ind w:left="398" w:right="122"/>
        <w:jc w:val="left"/>
        <w:rPr>
          <w:rStyle w:val="markedcontent"/>
          <w:sz w:val="24"/>
          <w:szCs w:val="24"/>
          <w:lang w:val="sr-Cyrl-RS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584"/>
        <w:gridCol w:w="1531"/>
        <w:gridCol w:w="2836"/>
        <w:gridCol w:w="1493"/>
        <w:gridCol w:w="3626"/>
      </w:tblGrid>
      <w:tr w:rsidR="007C4AE9" w:rsidTr="007F1F99">
        <w:trPr>
          <w:trHeight w:val="913"/>
        </w:trPr>
        <w:tc>
          <w:tcPr>
            <w:tcW w:w="1585" w:type="dxa"/>
            <w:shd w:val="clear" w:color="auto" w:fill="FBE4D5" w:themeFill="accent2" w:themeFillTint="33"/>
          </w:tcPr>
          <w:p w:rsidR="00E32D6A" w:rsidRPr="005D438A" w:rsidRDefault="00E32D6A" w:rsidP="00E92F5C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D438A">
              <w:rPr>
                <w:rStyle w:val="markedcontent"/>
                <w:lang w:val="sr-Cyrl-RS"/>
              </w:rPr>
              <w:t>Назив удружења</w:t>
            </w:r>
            <w:r w:rsidR="005D438A" w:rsidRPr="005D438A">
              <w:rPr>
                <w:rStyle w:val="markedcontent"/>
                <w:lang w:val="sr-Cyrl-RS"/>
              </w:rPr>
              <w:t xml:space="preserve">  и бр.</w:t>
            </w:r>
            <w:r w:rsidR="00722839">
              <w:rPr>
                <w:rStyle w:val="markedcontent"/>
                <w:lang w:val="sr-Cyrl-RS"/>
              </w:rPr>
              <w:t xml:space="preserve"> и датум </w:t>
            </w:r>
            <w:r w:rsidR="005D438A" w:rsidRPr="005D438A">
              <w:rPr>
                <w:rStyle w:val="markedcontent"/>
                <w:lang w:val="sr-Cyrl-RS"/>
              </w:rPr>
              <w:t>пријаве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:rsidR="00F304EF" w:rsidRPr="00F304EF" w:rsidRDefault="00F304EF" w:rsidP="00F304EF">
            <w:pPr>
              <w:pStyle w:val="ListParagraph"/>
              <w:tabs>
                <w:tab w:val="left" w:pos="358"/>
              </w:tabs>
              <w:ind w:right="122"/>
              <w:rPr>
                <w:rStyle w:val="markedcontent"/>
                <w:lang w:val="sr-Cyrl-RS"/>
              </w:rPr>
            </w:pPr>
            <w:r w:rsidRPr="00F304EF">
              <w:rPr>
                <w:rStyle w:val="markedcontent"/>
                <w:lang w:val="sr-Cyrl-RS"/>
              </w:rPr>
              <w:t xml:space="preserve">Назив </w:t>
            </w:r>
          </w:p>
          <w:p w:rsidR="00E32D6A" w:rsidRPr="005D438A" w:rsidRDefault="00F304EF" w:rsidP="00F304EF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F304EF">
              <w:rPr>
                <w:rStyle w:val="markedcontent"/>
                <w:lang w:val="sr-Cyrl-RS"/>
              </w:rPr>
              <w:t>програма</w:t>
            </w:r>
          </w:p>
        </w:tc>
        <w:tc>
          <w:tcPr>
            <w:tcW w:w="2848" w:type="dxa"/>
            <w:shd w:val="clear" w:color="auto" w:fill="FBE4D5" w:themeFill="accent2" w:themeFillTint="33"/>
          </w:tcPr>
          <w:p w:rsidR="00E32D6A" w:rsidRPr="005D438A" w:rsidRDefault="00E32D6A" w:rsidP="00E92F5C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D438A">
              <w:rPr>
                <w:rStyle w:val="markedcontent"/>
                <w:lang w:val="sr-Cyrl-RS"/>
              </w:rPr>
              <w:t>Испуњеност формалних услова из конкурса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E32D6A" w:rsidRPr="005D438A" w:rsidRDefault="00E32D6A" w:rsidP="00E92F5C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D438A">
              <w:rPr>
                <w:rStyle w:val="markedcontent"/>
                <w:lang w:val="sr-Cyrl-RS"/>
              </w:rPr>
              <w:t>Износ средстава који тражи</w:t>
            </w:r>
          </w:p>
        </w:tc>
        <w:tc>
          <w:tcPr>
            <w:tcW w:w="3644" w:type="dxa"/>
            <w:shd w:val="clear" w:color="auto" w:fill="FBE4D5" w:themeFill="accent2" w:themeFillTint="33"/>
          </w:tcPr>
          <w:p w:rsidR="00E32D6A" w:rsidRPr="005D438A" w:rsidRDefault="00E32D6A" w:rsidP="00E92F5C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D438A">
              <w:rPr>
                <w:rStyle w:val="markedcontent"/>
                <w:lang w:val="sr-Cyrl-RS"/>
              </w:rPr>
              <w:t>Напомена уз преглед</w:t>
            </w:r>
          </w:p>
        </w:tc>
      </w:tr>
      <w:tr w:rsidR="007F1F99" w:rsidRPr="00565583" w:rsidTr="007F1F99">
        <w:tc>
          <w:tcPr>
            <w:tcW w:w="1585" w:type="dxa"/>
          </w:tcPr>
          <w:p w:rsidR="007F1F99" w:rsidRPr="005D438A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5D438A">
              <w:rPr>
                <w:lang w:val="sr-Cyrl-RS"/>
              </w:rPr>
              <w:t>Удружење омладине општине Ражањ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 w:rsidRPr="005D438A">
              <w:rPr>
                <w:lang w:val="sr-Cyrl-RS"/>
              </w:rPr>
              <w:t>53-9/25-01</w:t>
            </w:r>
          </w:p>
          <w:p w:rsidR="007F1F99" w:rsidRPr="005D438A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3B3369">
              <w:rPr>
                <w:rStyle w:val="markedcontent"/>
                <w:sz w:val="20"/>
                <w:szCs w:val="20"/>
                <w:lang w:val="sr-Cyrl-RS"/>
              </w:rPr>
              <w:t>31.март 2025.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7F1F99" w:rsidRPr="0081698A" w:rsidRDefault="007F1F99" w:rsidP="007F1F99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2848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Уз пријаву удружење је доставило: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-обрасце</w:t>
            </w:r>
            <w:r w:rsidRPr="00DE0E15">
              <w:rPr>
                <w:rStyle w:val="markedcontent"/>
                <w:lang w:val="sr-Cyrl-RS"/>
              </w:rPr>
              <w:t xml:space="preserve"> 1, 2 и 3.-уредни</w:t>
            </w:r>
            <w:r>
              <w:rPr>
                <w:rStyle w:val="markedcontent"/>
                <w:lang w:val="sr-Cyrl-RS"/>
              </w:rPr>
              <w:t>;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DE0E15">
              <w:rPr>
                <w:rStyle w:val="markedcontent"/>
                <w:lang w:val="sr-Cyrl-RS"/>
              </w:rPr>
              <w:t>-</w:t>
            </w:r>
            <w:r>
              <w:rPr>
                <w:rStyle w:val="markedcontent"/>
                <w:lang w:val="sr-Cyrl-RS"/>
              </w:rPr>
              <w:t>Етички кодекс.</w:t>
            </w:r>
          </w:p>
        </w:tc>
        <w:tc>
          <w:tcPr>
            <w:tcW w:w="1494" w:type="dxa"/>
            <w:vAlign w:val="center"/>
          </w:tcPr>
          <w:p w:rsidR="007F1F99" w:rsidRPr="008C73AC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b/>
                <w:lang w:val="sr-Cyrl-RS"/>
              </w:rPr>
            </w:pPr>
            <w:r w:rsidRPr="008C73AC">
              <w:rPr>
                <w:rStyle w:val="markedcontent"/>
                <w:b/>
                <w:lang w:val="sr-Cyrl-RS"/>
              </w:rPr>
              <w:t>45.000,00 рсд</w:t>
            </w:r>
          </w:p>
        </w:tc>
        <w:tc>
          <w:tcPr>
            <w:tcW w:w="3644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-у</w:t>
            </w:r>
            <w:r w:rsidRPr="009A4F18">
              <w:rPr>
                <w:rStyle w:val="markedcontent"/>
                <w:sz w:val="20"/>
                <w:szCs w:val="20"/>
                <w:lang w:val="sr-Cyrl-RS"/>
              </w:rPr>
              <w:t xml:space="preserve">видом у АПР, утврђено је да је удружење регистровано </w:t>
            </w:r>
            <w:r>
              <w:rPr>
                <w:rStyle w:val="markedcontent"/>
                <w:sz w:val="20"/>
                <w:szCs w:val="20"/>
                <w:lang w:val="sr-Cyrl-RS"/>
              </w:rPr>
              <w:t>у складу са Законом, за област у којој се програм реализује, да је регистровано 6 м пре расписивања конкурса, да има седиште на територији општине Ражањ, као и да није у поступку ликвидације, стечаја, под прив.забраном обављања делатности-преглед јавно доступних финансијских извештаја.</w:t>
            </w:r>
          </w:p>
          <w:p w:rsidR="007F1F99" w:rsidRPr="009A4F18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 xml:space="preserve">-извршена је претрага НБС – није у принуној наплати. </w:t>
            </w:r>
          </w:p>
        </w:tc>
      </w:tr>
      <w:tr w:rsidR="007F1F99" w:rsidRPr="00565583" w:rsidTr="007F1F99">
        <w:tc>
          <w:tcPr>
            <w:tcW w:w="1585" w:type="dxa"/>
          </w:tcPr>
          <w:p w:rsidR="007F1F99" w:rsidRPr="005D438A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D438A">
              <w:rPr>
                <w:rStyle w:val="markedcontent"/>
                <w:lang w:val="sr-Cyrl-RS"/>
              </w:rPr>
              <w:t>Удружење рома“Ју ром“ Ражањ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B3328F">
              <w:rPr>
                <w:lang w:val="ru-RU"/>
              </w:rPr>
              <w:t>5</w:t>
            </w:r>
            <w:r>
              <w:rPr>
                <w:lang w:val="sr-Cyrl-RS"/>
              </w:rPr>
              <w:t>53-11</w:t>
            </w:r>
            <w:r w:rsidRPr="005D438A">
              <w:rPr>
                <w:lang w:val="sr-Cyrl-RS"/>
              </w:rPr>
              <w:t>/25-01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sz w:val="24"/>
                <w:szCs w:val="24"/>
                <w:lang w:val="sr-Cyrl-RS"/>
              </w:rPr>
            </w:pPr>
            <w:r w:rsidRPr="003B3369">
              <w:rPr>
                <w:rStyle w:val="markedcontent"/>
                <w:sz w:val="20"/>
                <w:szCs w:val="20"/>
                <w:lang w:val="sr-Cyrl-RS"/>
              </w:rPr>
              <w:t>1.април 2025</w:t>
            </w:r>
            <w:r>
              <w:rPr>
                <w:rStyle w:val="markedcontent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99" w:type="dxa"/>
            <w:vAlign w:val="center"/>
          </w:tcPr>
          <w:p w:rsidR="007F1F99" w:rsidRPr="003B3369" w:rsidRDefault="00D8036D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 xml:space="preserve">Побољшање положаја рома на територији општине </w:t>
            </w:r>
            <w:r>
              <w:rPr>
                <w:rStyle w:val="markedcontent"/>
                <w:sz w:val="20"/>
                <w:szCs w:val="20"/>
                <w:lang w:val="sr-Cyrl-RS"/>
              </w:rPr>
              <w:lastRenderedPageBreak/>
              <w:t>Ражањ</w:t>
            </w:r>
          </w:p>
        </w:tc>
        <w:tc>
          <w:tcPr>
            <w:tcW w:w="2848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lastRenderedPageBreak/>
              <w:t>Уз пријаву удружење је доставило: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-обрасце</w:t>
            </w:r>
            <w:r w:rsidRPr="00DE0E15">
              <w:rPr>
                <w:rStyle w:val="markedcontent"/>
                <w:lang w:val="sr-Cyrl-RS"/>
              </w:rPr>
              <w:t xml:space="preserve"> 1, 2 и 3.-уредни</w:t>
            </w:r>
            <w:r>
              <w:rPr>
                <w:rStyle w:val="markedcontent"/>
                <w:lang w:val="sr-Cyrl-RS"/>
              </w:rPr>
              <w:t>;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DE0E15">
              <w:rPr>
                <w:rStyle w:val="markedcontent"/>
                <w:lang w:val="sr-Cyrl-RS"/>
              </w:rPr>
              <w:t>-</w:t>
            </w:r>
            <w:r>
              <w:rPr>
                <w:rStyle w:val="markedcontent"/>
                <w:lang w:val="sr-Cyrl-RS"/>
              </w:rPr>
              <w:t xml:space="preserve"> Етички кодекс.;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lastRenderedPageBreak/>
              <w:t>-извод из АПР-а-којом доказује испуњеност услова по конкурсу;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-претрагу дужника у принудној наплати НБС.</w:t>
            </w:r>
          </w:p>
        </w:tc>
        <w:tc>
          <w:tcPr>
            <w:tcW w:w="1494" w:type="dxa"/>
            <w:vAlign w:val="center"/>
          </w:tcPr>
          <w:p w:rsidR="007F1F99" w:rsidRPr="008C73AC" w:rsidRDefault="00D8036D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b/>
                <w:sz w:val="20"/>
                <w:szCs w:val="20"/>
                <w:lang w:val="sr-Cyrl-RS"/>
              </w:rPr>
            </w:pPr>
            <w:r>
              <w:rPr>
                <w:rStyle w:val="markedcontent"/>
                <w:b/>
                <w:sz w:val="20"/>
                <w:szCs w:val="20"/>
                <w:lang w:val="sr-Cyrl-RS"/>
              </w:rPr>
              <w:lastRenderedPageBreak/>
              <w:t>115</w:t>
            </w:r>
            <w:r w:rsidR="007F1F99" w:rsidRPr="008C73AC">
              <w:rPr>
                <w:rStyle w:val="markedcontent"/>
                <w:b/>
                <w:sz w:val="20"/>
                <w:szCs w:val="20"/>
                <w:lang w:val="sr-Cyrl-RS"/>
              </w:rPr>
              <w:t>.000,00  рсд</w:t>
            </w:r>
          </w:p>
        </w:tc>
        <w:tc>
          <w:tcPr>
            <w:tcW w:w="3644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у</w:t>
            </w:r>
            <w:r w:rsidRPr="009A4F18">
              <w:rPr>
                <w:rStyle w:val="markedcontent"/>
                <w:sz w:val="20"/>
                <w:szCs w:val="20"/>
                <w:lang w:val="sr-Cyrl-RS"/>
              </w:rPr>
              <w:t xml:space="preserve">видом у АПР, утврђено је </w:t>
            </w:r>
            <w:r>
              <w:rPr>
                <w:rStyle w:val="markedcontent"/>
                <w:sz w:val="20"/>
                <w:szCs w:val="20"/>
                <w:lang w:val="sr-Cyrl-RS"/>
              </w:rPr>
              <w:t>да није у поступку ликвидације, стечаја, под прив.забраном обављања делатности-преглед јавно доступних финансијских извештаја.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sz w:val="24"/>
                <w:szCs w:val="24"/>
                <w:lang w:val="sr-Cyrl-RS"/>
              </w:rPr>
            </w:pPr>
          </w:p>
        </w:tc>
      </w:tr>
      <w:tr w:rsidR="007F1F99" w:rsidRPr="00565583" w:rsidTr="007F1F99">
        <w:tc>
          <w:tcPr>
            <w:tcW w:w="1585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3B3369">
              <w:rPr>
                <w:rStyle w:val="markedcontent"/>
                <w:lang w:val="sr-Cyrl-RS"/>
              </w:rPr>
              <w:lastRenderedPageBreak/>
              <w:t>Удружење „Сунчев зрак“ Ражањ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53-12</w:t>
            </w:r>
            <w:r w:rsidRPr="005D438A">
              <w:rPr>
                <w:lang w:val="sr-Cyrl-RS"/>
              </w:rPr>
              <w:t>/25-01</w:t>
            </w:r>
          </w:p>
          <w:p w:rsidR="007F1F99" w:rsidRPr="003B336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2.април 2025</w:t>
            </w:r>
            <w:r>
              <w:rPr>
                <w:rStyle w:val="markedcontent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99" w:type="dxa"/>
            <w:vAlign w:val="center"/>
          </w:tcPr>
          <w:p w:rsidR="007F1F99" w:rsidRPr="00D8036D" w:rsidRDefault="00D8036D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Месец подршке и дружења</w:t>
            </w:r>
          </w:p>
        </w:tc>
        <w:tc>
          <w:tcPr>
            <w:tcW w:w="2848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Уз пријаву удружење је доставило: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-обрасце</w:t>
            </w:r>
            <w:r w:rsidRPr="00DE0E15">
              <w:rPr>
                <w:rStyle w:val="markedcontent"/>
                <w:lang w:val="sr-Cyrl-RS"/>
              </w:rPr>
              <w:t xml:space="preserve"> 1, 2 и 3.-уредни</w:t>
            </w:r>
            <w:r>
              <w:rPr>
                <w:rStyle w:val="markedcontent"/>
                <w:lang w:val="sr-Cyrl-RS"/>
              </w:rPr>
              <w:t>;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-изјаву о доказивању искуства у управљању пројектима –вредност преко 500.000,00 динара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DE0E15">
              <w:rPr>
                <w:rStyle w:val="markedcontent"/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rStyle w:val="markedcontent"/>
                <w:lang w:val="sr-Cyrl-RS"/>
              </w:rPr>
              <w:t>Етички кодекс;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-претрагу дужника у принудној наплати НБС.</w:t>
            </w:r>
          </w:p>
        </w:tc>
        <w:tc>
          <w:tcPr>
            <w:tcW w:w="1494" w:type="dxa"/>
            <w:vAlign w:val="center"/>
          </w:tcPr>
          <w:p w:rsidR="007F1F99" w:rsidRPr="00B076B3" w:rsidRDefault="00D8036D" w:rsidP="00D8036D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b/>
                <w:lang w:val="sr-Cyrl-RS"/>
              </w:rPr>
            </w:pPr>
            <w:r>
              <w:rPr>
                <w:rStyle w:val="markedcontent"/>
                <w:b/>
                <w:lang w:val="sr-Cyrl-RS"/>
              </w:rPr>
              <w:t>790</w:t>
            </w:r>
            <w:r w:rsidR="007F1F99" w:rsidRPr="00B076B3">
              <w:rPr>
                <w:rStyle w:val="markedcontent"/>
                <w:b/>
                <w:lang w:val="sr-Cyrl-RS"/>
              </w:rPr>
              <w:t>.000,00 рсд</w:t>
            </w:r>
          </w:p>
        </w:tc>
        <w:tc>
          <w:tcPr>
            <w:tcW w:w="3644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у</w:t>
            </w:r>
            <w:r w:rsidRPr="009A4F18">
              <w:rPr>
                <w:rStyle w:val="markedcontent"/>
                <w:sz w:val="20"/>
                <w:szCs w:val="20"/>
                <w:lang w:val="sr-Cyrl-RS"/>
              </w:rPr>
              <w:t xml:space="preserve">видом у АПР, утврђено је да је удружење регистровано </w:t>
            </w:r>
            <w:r>
              <w:rPr>
                <w:rStyle w:val="markedcontent"/>
                <w:sz w:val="20"/>
                <w:szCs w:val="20"/>
                <w:lang w:val="sr-Cyrl-RS"/>
              </w:rPr>
              <w:t>у складу са Законом, за област у којој се програм реализује, да је регистровано 6 м пре расписивања конкурса, да има седиште на територији општине Ражањ, као и да није у поступку ликвидације, стечаја, под прив.забраном обављања делатности-преглед јавно доступних финансијских извештаја.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sz w:val="24"/>
                <w:szCs w:val="24"/>
                <w:lang w:val="sr-Cyrl-RS"/>
              </w:rPr>
            </w:pPr>
          </w:p>
        </w:tc>
      </w:tr>
      <w:tr w:rsidR="007F1F99" w:rsidRPr="00565583" w:rsidTr="007F1F99">
        <w:tc>
          <w:tcPr>
            <w:tcW w:w="1585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3B3369">
              <w:rPr>
                <w:rStyle w:val="markedcontent"/>
                <w:lang w:val="sr-Cyrl-RS"/>
              </w:rPr>
              <w:t>Удружење пензионера општине Ражањ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53-13</w:t>
            </w:r>
            <w:r w:rsidRPr="005D438A">
              <w:rPr>
                <w:lang w:val="sr-Cyrl-RS"/>
              </w:rPr>
              <w:t>/25-01</w:t>
            </w:r>
          </w:p>
          <w:p w:rsidR="007F1F99" w:rsidRPr="003B336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3.април 2025.</w:t>
            </w:r>
          </w:p>
        </w:tc>
        <w:tc>
          <w:tcPr>
            <w:tcW w:w="1499" w:type="dxa"/>
            <w:vAlign w:val="center"/>
          </w:tcPr>
          <w:p w:rsidR="007F1F99" w:rsidRPr="005079FD" w:rsidRDefault="004668FB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Забавимо се спортским рекреативним активностима</w:t>
            </w:r>
          </w:p>
        </w:tc>
        <w:tc>
          <w:tcPr>
            <w:tcW w:w="2848" w:type="dxa"/>
          </w:tcPr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Уз пријаву удружење је доставило: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>-обрасце</w:t>
            </w:r>
            <w:r w:rsidRPr="00DE0E15">
              <w:rPr>
                <w:rStyle w:val="markedcontent"/>
                <w:lang w:val="sr-Cyrl-RS"/>
              </w:rPr>
              <w:t xml:space="preserve"> 1, 2 и 3.-уредни</w:t>
            </w:r>
            <w:r>
              <w:rPr>
                <w:rStyle w:val="markedcontent"/>
                <w:lang w:val="sr-Cyrl-RS"/>
              </w:rPr>
              <w:t>;</w:t>
            </w:r>
          </w:p>
          <w:p w:rsidR="007F1F99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 w:rsidRPr="00DE0E15">
              <w:rPr>
                <w:rStyle w:val="markedcontent"/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rStyle w:val="markedcontent"/>
                <w:lang w:val="sr-Cyrl-RS"/>
              </w:rPr>
              <w:t>Етички кодекс;</w:t>
            </w:r>
          </w:p>
          <w:p w:rsidR="007F1F99" w:rsidRPr="00DE0E15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lang w:val="sr-Cyrl-RS"/>
              </w:rPr>
            </w:pPr>
            <w:r>
              <w:rPr>
                <w:rStyle w:val="markedcontent"/>
                <w:lang w:val="sr-Cyrl-RS"/>
              </w:rPr>
              <w:t xml:space="preserve"> -претрагу дужника у принудној наплати НБС.</w:t>
            </w:r>
          </w:p>
        </w:tc>
        <w:tc>
          <w:tcPr>
            <w:tcW w:w="1494" w:type="dxa"/>
            <w:vAlign w:val="center"/>
          </w:tcPr>
          <w:p w:rsidR="007F1F99" w:rsidRPr="00706762" w:rsidRDefault="007F1F99" w:rsidP="007F1F99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b/>
                <w:sz w:val="20"/>
                <w:szCs w:val="20"/>
                <w:lang w:val="sr-Cyrl-RS"/>
              </w:rPr>
            </w:pPr>
            <w:r w:rsidRPr="00706762">
              <w:rPr>
                <w:rStyle w:val="markedcontent"/>
                <w:b/>
                <w:sz w:val="20"/>
                <w:szCs w:val="20"/>
                <w:lang w:val="sr-Cyrl-RS"/>
              </w:rPr>
              <w:t>50.000,00 рсд</w:t>
            </w:r>
          </w:p>
        </w:tc>
        <w:tc>
          <w:tcPr>
            <w:tcW w:w="3644" w:type="dxa"/>
          </w:tcPr>
          <w:p w:rsidR="007F1F99" w:rsidRPr="00B3328F" w:rsidRDefault="007F1F99" w:rsidP="007F1F99">
            <w:pPr>
              <w:pStyle w:val="ListParagraph"/>
              <w:tabs>
                <w:tab w:val="left" w:pos="358"/>
              </w:tabs>
              <w:ind w:left="0" w:right="122"/>
              <w:rPr>
                <w:rStyle w:val="markedcontent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у</w:t>
            </w:r>
            <w:r w:rsidRPr="009A4F18">
              <w:rPr>
                <w:rStyle w:val="markedcontent"/>
                <w:sz w:val="20"/>
                <w:szCs w:val="20"/>
                <w:lang w:val="sr-Cyrl-RS"/>
              </w:rPr>
              <w:t xml:space="preserve">видом у АПР, утврђено је да је удружење регистровано </w:t>
            </w:r>
            <w:r>
              <w:rPr>
                <w:rStyle w:val="markedcontent"/>
                <w:sz w:val="20"/>
                <w:szCs w:val="20"/>
                <w:lang w:val="sr-Cyrl-RS"/>
              </w:rPr>
              <w:t>у складу са Законом, за област у којој се програм реализује, да је регистровано 6 м пре расписивања конкурса, да има седиште на територији општине Ражањ, као и да није у поступку ликвидације, стечаја, под прив.забраном обављања делатности-преглед јавно доступних финансијских извештаја.</w:t>
            </w:r>
          </w:p>
        </w:tc>
      </w:tr>
    </w:tbl>
    <w:p w:rsidR="00C70BFA" w:rsidRDefault="00C70BFA" w:rsidP="00E92F5C">
      <w:pPr>
        <w:pStyle w:val="ListParagraph"/>
        <w:tabs>
          <w:tab w:val="left" w:pos="358"/>
        </w:tabs>
        <w:ind w:left="398" w:right="122"/>
        <w:jc w:val="left"/>
        <w:rPr>
          <w:rStyle w:val="markedcontent"/>
          <w:sz w:val="24"/>
          <w:szCs w:val="24"/>
          <w:lang w:val="sr-Cyrl-RS"/>
        </w:rPr>
      </w:pPr>
    </w:p>
    <w:p w:rsidR="0045232E" w:rsidRPr="00844EB9" w:rsidRDefault="0045232E" w:rsidP="00844EB9">
      <w:pPr>
        <w:tabs>
          <w:tab w:val="left" w:pos="358"/>
        </w:tabs>
        <w:ind w:right="122"/>
        <w:rPr>
          <w:rStyle w:val="markedcontent"/>
          <w:sz w:val="24"/>
          <w:szCs w:val="24"/>
          <w:lang w:val="sr-Cyrl-RS"/>
        </w:rPr>
      </w:pPr>
    </w:p>
    <w:p w:rsidR="0045232E" w:rsidRPr="00892CE5" w:rsidRDefault="0045232E" w:rsidP="00892CE5">
      <w:pPr>
        <w:pStyle w:val="ListParagraph"/>
        <w:tabs>
          <w:tab w:val="left" w:pos="358"/>
        </w:tabs>
        <w:ind w:left="398" w:right="122"/>
        <w:rPr>
          <w:rStyle w:val="markedcontent"/>
          <w:sz w:val="24"/>
          <w:szCs w:val="24"/>
          <w:lang w:val="sr-Cyrl-RS"/>
        </w:rPr>
      </w:pPr>
      <w:r w:rsidRPr="0045232E">
        <w:rPr>
          <w:rStyle w:val="markedcontent"/>
          <w:sz w:val="24"/>
          <w:szCs w:val="24"/>
          <w:lang w:val="sr-Cyrl-RS"/>
        </w:rPr>
        <w:t>Сви чланови Комисије су извршили увид у документа пријава, и констатовали да  да су достављени потребни обрасци, документа, изјаве и прилози у складу са условима конкурса,</w:t>
      </w:r>
      <w:r w:rsidR="00844EB9">
        <w:rPr>
          <w:rStyle w:val="markedcontent"/>
          <w:sz w:val="24"/>
          <w:szCs w:val="24"/>
          <w:lang w:val="sr-Cyrl-RS"/>
        </w:rPr>
        <w:t xml:space="preserve"> као и да су исти уредни, адекватни и прихватљиви,</w:t>
      </w:r>
      <w:r w:rsidRPr="0045232E">
        <w:rPr>
          <w:rStyle w:val="markedcontent"/>
          <w:sz w:val="24"/>
          <w:szCs w:val="24"/>
          <w:lang w:val="sr-Cyrl-RS"/>
        </w:rPr>
        <w:t xml:space="preserve"> након чега су извршили појединачно вредновање програма.</w:t>
      </w:r>
    </w:p>
    <w:p w:rsidR="00AD506B" w:rsidRDefault="00AD506B" w:rsidP="00AD506B">
      <w:pPr>
        <w:tabs>
          <w:tab w:val="left" w:pos="358"/>
        </w:tabs>
        <w:ind w:right="1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</w:p>
    <w:p w:rsidR="00AD506B" w:rsidRDefault="00AD506B" w:rsidP="00C4577A">
      <w:pPr>
        <w:tabs>
          <w:tab w:val="left" w:pos="358"/>
        </w:tabs>
        <w:ind w:right="122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r w:rsidR="00C4577A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 извршеном појединачном вредновању Програма, извршено је коначно  одређивање бодова по критеријумима за избор програма, као и по допунским  критеријумима за избор програма и то:</w:t>
      </w:r>
    </w:p>
    <w:p w:rsidR="00AD506B" w:rsidRPr="00E92F5C" w:rsidRDefault="00AD506B" w:rsidP="00AD506B">
      <w:pPr>
        <w:tabs>
          <w:tab w:val="left" w:pos="358"/>
        </w:tabs>
        <w:ind w:right="122"/>
        <w:rPr>
          <w:sz w:val="24"/>
          <w:szCs w:val="24"/>
          <w:lang w:val="sr-Cyrl-RS"/>
        </w:rPr>
      </w:pPr>
    </w:p>
    <w:p w:rsidR="00AD506B" w:rsidRPr="001812F1" w:rsidRDefault="00AD506B" w:rsidP="00AD506B">
      <w:pPr>
        <w:pStyle w:val="ListParagraph"/>
        <w:numPr>
          <w:ilvl w:val="0"/>
          <w:numId w:val="1"/>
        </w:numPr>
        <w:tabs>
          <w:tab w:val="left" w:pos="358"/>
        </w:tabs>
        <w:spacing w:before="90"/>
        <w:ind w:right="122"/>
        <w:jc w:val="left"/>
        <w:rPr>
          <w:sz w:val="24"/>
          <w:lang w:val="ru-RU"/>
        </w:rPr>
      </w:pPr>
      <w:r w:rsidRPr="001812F1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О</w:t>
      </w:r>
      <w:r w:rsidRPr="001812F1">
        <w:rPr>
          <w:sz w:val="24"/>
          <w:lang w:val="ru-RU"/>
        </w:rPr>
        <w:t>бласт у којој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се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реализује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програм,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дужина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трајања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програма, број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корисника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програма, могућност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развијања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програма и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његова</w:t>
      </w:r>
      <w:r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 xml:space="preserve">одрживост </w:t>
      </w:r>
      <w:r w:rsidR="0067768D">
        <w:rPr>
          <w:sz w:val="24"/>
          <w:lang w:val="ru-RU"/>
        </w:rPr>
        <w:t xml:space="preserve">–мах </w:t>
      </w:r>
      <w:r w:rsidRPr="001812F1">
        <w:rPr>
          <w:sz w:val="24"/>
          <w:lang w:val="ru-RU"/>
        </w:rPr>
        <w:t>25 бодова.</w:t>
      </w:r>
    </w:p>
    <w:p w:rsidR="00AD506B" w:rsidRPr="001812F1" w:rsidRDefault="00AD506B" w:rsidP="00AD506B">
      <w:pPr>
        <w:pStyle w:val="ListParagraph"/>
        <w:tabs>
          <w:tab w:val="left" w:pos="358"/>
        </w:tabs>
        <w:spacing w:before="90"/>
        <w:ind w:left="398" w:right="122"/>
        <w:jc w:val="left"/>
        <w:rPr>
          <w:sz w:val="24"/>
          <w:lang w:val="ru-RU"/>
        </w:rPr>
      </w:pPr>
    </w:p>
    <w:p w:rsidR="00AD506B" w:rsidRPr="001812F1" w:rsidRDefault="00AD506B" w:rsidP="00AD506B">
      <w:pPr>
        <w:pStyle w:val="ListParagraph"/>
        <w:numPr>
          <w:ilvl w:val="0"/>
          <w:numId w:val="1"/>
        </w:numPr>
        <w:tabs>
          <w:tab w:val="left" w:pos="413"/>
        </w:tabs>
        <w:ind w:right="123"/>
        <w:rPr>
          <w:sz w:val="24"/>
          <w:lang w:val="ru-RU"/>
        </w:rPr>
      </w:pPr>
      <w:r w:rsidRPr="00E92F5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О</w:t>
      </w:r>
      <w:r w:rsidRPr="001812F1">
        <w:rPr>
          <w:sz w:val="24"/>
          <w:lang w:val="ru-RU"/>
        </w:rPr>
        <w:t>бим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задовољавања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јавног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интереса,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степен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унапређења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стања</w:t>
      </w:r>
      <w:r w:rsidR="0067768D">
        <w:rPr>
          <w:sz w:val="24"/>
          <w:lang w:val="ru-RU"/>
        </w:rPr>
        <w:t xml:space="preserve"> </w:t>
      </w:r>
      <w:r w:rsidRPr="001812F1">
        <w:rPr>
          <w:sz w:val="24"/>
          <w:lang w:val="ru-RU"/>
        </w:rPr>
        <w:t>у области у којој</w:t>
      </w:r>
      <w:r w:rsidR="0067768D">
        <w:rPr>
          <w:sz w:val="24"/>
          <w:lang w:val="ru-RU"/>
        </w:rPr>
        <w:t xml:space="preserve"> </w:t>
      </w:r>
      <w:r w:rsidRPr="001812F1">
        <w:rPr>
          <w:sz w:val="24"/>
          <w:lang w:val="ru-RU"/>
        </w:rPr>
        <w:t>с</w:t>
      </w:r>
      <w:r w:rsidRPr="00E92F5C">
        <w:rPr>
          <w:sz w:val="24"/>
          <w:lang w:val="sr-Cyrl-RS"/>
        </w:rPr>
        <w:t xml:space="preserve">е </w:t>
      </w:r>
      <w:r w:rsidRPr="001812F1">
        <w:rPr>
          <w:sz w:val="24"/>
          <w:lang w:val="ru-RU"/>
        </w:rPr>
        <w:t>програм</w:t>
      </w:r>
      <w:r w:rsidRPr="00E92F5C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 xml:space="preserve">спроводи – </w:t>
      </w:r>
      <w:r w:rsidR="00616767">
        <w:rPr>
          <w:sz w:val="24"/>
          <w:lang w:val="ru-RU"/>
        </w:rPr>
        <w:t xml:space="preserve">мах </w:t>
      </w:r>
      <w:r w:rsidRPr="001812F1">
        <w:rPr>
          <w:sz w:val="24"/>
          <w:lang w:val="ru-RU"/>
        </w:rPr>
        <w:t xml:space="preserve">25 </w:t>
      </w:r>
      <w:r>
        <w:rPr>
          <w:sz w:val="24"/>
          <w:lang w:val="sr-Cyrl-RS"/>
        </w:rPr>
        <w:t>бодова.</w:t>
      </w:r>
    </w:p>
    <w:p w:rsidR="00AD506B" w:rsidRPr="001812F1" w:rsidRDefault="00AD506B" w:rsidP="00AD506B">
      <w:pPr>
        <w:tabs>
          <w:tab w:val="left" w:pos="413"/>
        </w:tabs>
        <w:ind w:right="123"/>
        <w:rPr>
          <w:sz w:val="24"/>
          <w:lang w:val="ru-RU"/>
        </w:rPr>
      </w:pPr>
    </w:p>
    <w:p w:rsidR="00AD506B" w:rsidRPr="001812F1" w:rsidRDefault="00AD506B" w:rsidP="00AD506B">
      <w:pPr>
        <w:pStyle w:val="ListParagraph"/>
        <w:numPr>
          <w:ilvl w:val="0"/>
          <w:numId w:val="1"/>
        </w:numPr>
        <w:tabs>
          <w:tab w:val="left" w:pos="379"/>
        </w:tabs>
        <w:ind w:right="121"/>
        <w:rPr>
          <w:sz w:val="24"/>
          <w:lang w:val="ru-RU"/>
        </w:rPr>
      </w:pPr>
      <w:r w:rsidRPr="009A29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С</w:t>
      </w:r>
      <w:r w:rsidRPr="001812F1">
        <w:rPr>
          <w:sz w:val="24"/>
          <w:lang w:val="ru-RU"/>
        </w:rPr>
        <w:t>уфинансирање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из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других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извора: сопствених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прихода,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буџета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Републике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Србије,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аутономне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покрајине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или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јединице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локалне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самоуправе, фондова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Европске</w:t>
      </w:r>
      <w:r w:rsidR="00616767">
        <w:rPr>
          <w:sz w:val="24"/>
          <w:lang w:val="ru-RU"/>
        </w:rPr>
        <w:t xml:space="preserve"> </w:t>
      </w:r>
      <w:r w:rsidRPr="001812F1">
        <w:rPr>
          <w:sz w:val="24"/>
          <w:lang w:val="ru-RU"/>
        </w:rPr>
        <w:t>уније, поклона, донација, легата, кредита и друго, у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случају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недостајућег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дела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средстава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за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финансирање</w:t>
      </w:r>
      <w:r w:rsidRPr="009A297F">
        <w:rPr>
          <w:sz w:val="24"/>
          <w:lang w:val="sr-Cyrl-RS"/>
        </w:rPr>
        <w:t xml:space="preserve"> </w:t>
      </w:r>
      <w:r w:rsidR="0067768D">
        <w:rPr>
          <w:sz w:val="24"/>
          <w:lang w:val="ru-RU"/>
        </w:rPr>
        <w:t>програма – мах 25</w:t>
      </w:r>
      <w:r w:rsidRPr="001812F1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бодова.</w:t>
      </w:r>
    </w:p>
    <w:p w:rsidR="00AD506B" w:rsidRPr="001812F1" w:rsidRDefault="00AD506B" w:rsidP="00AD506B">
      <w:pPr>
        <w:pStyle w:val="ListParagraph"/>
        <w:tabs>
          <w:tab w:val="left" w:pos="379"/>
        </w:tabs>
        <w:ind w:left="398" w:right="121"/>
        <w:rPr>
          <w:sz w:val="24"/>
          <w:lang w:val="ru-RU"/>
        </w:rPr>
      </w:pPr>
    </w:p>
    <w:p w:rsidR="00AD506B" w:rsidRPr="001812F1" w:rsidRDefault="00AD506B" w:rsidP="00AD506B">
      <w:pPr>
        <w:pStyle w:val="ListParagraph"/>
        <w:numPr>
          <w:ilvl w:val="0"/>
          <w:numId w:val="1"/>
        </w:numPr>
        <w:tabs>
          <w:tab w:val="left" w:pos="331"/>
        </w:tabs>
        <w:spacing w:before="1"/>
        <w:ind w:right="113"/>
        <w:rPr>
          <w:sz w:val="24"/>
          <w:lang w:val="ru-RU"/>
        </w:rPr>
      </w:pPr>
      <w:r w:rsidRPr="009A29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З</w:t>
      </w:r>
      <w:r w:rsidRPr="001812F1">
        <w:rPr>
          <w:sz w:val="24"/>
          <w:lang w:val="ru-RU"/>
        </w:rPr>
        <w:t>аконитост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ефикасност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коришћења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средстава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одрживост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ранијих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програма: ако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су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раније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коришћена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средства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из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буџета, да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ли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су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испуњене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уговорне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обавезе, односно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да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ли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је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раскинут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уговор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удружењем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због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ненаменског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трошења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средстава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у претходне</w:t>
      </w:r>
      <w:r w:rsidRPr="009A297F">
        <w:rPr>
          <w:sz w:val="24"/>
          <w:lang w:val="sr-Cyrl-RS"/>
        </w:rPr>
        <w:t xml:space="preserve"> </w:t>
      </w:r>
      <w:r w:rsidRPr="001812F1">
        <w:rPr>
          <w:sz w:val="24"/>
          <w:lang w:val="ru-RU"/>
        </w:rPr>
        <w:t>две</w:t>
      </w:r>
      <w:r w:rsidRPr="009A297F">
        <w:rPr>
          <w:sz w:val="24"/>
          <w:lang w:val="sr-Cyrl-RS"/>
        </w:rPr>
        <w:t xml:space="preserve"> </w:t>
      </w:r>
      <w:r w:rsidR="008C78AD">
        <w:rPr>
          <w:sz w:val="24"/>
          <w:lang w:val="ru-RU"/>
        </w:rPr>
        <w:t>године – мах 25</w:t>
      </w:r>
      <w:r w:rsidRPr="001812F1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бодова.</w:t>
      </w:r>
    </w:p>
    <w:p w:rsidR="00AD506B" w:rsidRPr="001812F1" w:rsidRDefault="00AD506B" w:rsidP="00AD506B">
      <w:pPr>
        <w:pStyle w:val="ListParagraph"/>
        <w:tabs>
          <w:tab w:val="left" w:pos="331"/>
        </w:tabs>
        <w:spacing w:before="1"/>
        <w:ind w:left="398" w:right="113"/>
        <w:jc w:val="left"/>
        <w:rPr>
          <w:sz w:val="24"/>
          <w:lang w:val="ru-RU"/>
        </w:rPr>
      </w:pPr>
    </w:p>
    <w:p w:rsidR="00AD506B" w:rsidRPr="0019499E" w:rsidRDefault="00AD506B" w:rsidP="0019499E">
      <w:pPr>
        <w:pStyle w:val="BodyText"/>
        <w:ind w:left="820"/>
        <w:rPr>
          <w:lang w:val="ru-RU"/>
        </w:rPr>
      </w:pPr>
      <w:r w:rsidRPr="001812F1">
        <w:rPr>
          <w:lang w:val="ru-RU"/>
        </w:rPr>
        <w:t>Допунски</w:t>
      </w:r>
      <w:r>
        <w:rPr>
          <w:lang w:val="sr-Cyrl-RS"/>
        </w:rPr>
        <w:t xml:space="preserve"> </w:t>
      </w:r>
      <w:r w:rsidRPr="001812F1">
        <w:rPr>
          <w:lang w:val="ru-RU"/>
        </w:rPr>
        <w:t>критеријуми</w:t>
      </w:r>
      <w:r>
        <w:rPr>
          <w:lang w:val="sr-Cyrl-RS"/>
        </w:rPr>
        <w:t xml:space="preserve"> </w:t>
      </w:r>
      <w:r w:rsidRPr="001812F1">
        <w:rPr>
          <w:lang w:val="ru-RU"/>
        </w:rPr>
        <w:t>за</w:t>
      </w:r>
      <w:r>
        <w:rPr>
          <w:lang w:val="sr-Cyrl-RS"/>
        </w:rPr>
        <w:t xml:space="preserve"> </w:t>
      </w:r>
      <w:r w:rsidRPr="001812F1">
        <w:rPr>
          <w:lang w:val="ru-RU"/>
        </w:rPr>
        <w:t>избор</w:t>
      </w:r>
      <w:r>
        <w:rPr>
          <w:lang w:val="sr-Cyrl-RS"/>
        </w:rPr>
        <w:t xml:space="preserve"> </w:t>
      </w:r>
      <w:r w:rsidRPr="001812F1">
        <w:rPr>
          <w:lang w:val="ru-RU"/>
        </w:rPr>
        <w:t>програма:</w:t>
      </w:r>
    </w:p>
    <w:p w:rsidR="00AD506B" w:rsidRPr="001812F1" w:rsidRDefault="00AD506B" w:rsidP="00AD506B">
      <w:pPr>
        <w:rPr>
          <w:lang w:val="ru-RU"/>
        </w:rPr>
      </w:pPr>
    </w:p>
    <w:tbl>
      <w:tblPr>
        <w:tblW w:w="96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5"/>
        <w:gridCol w:w="2250"/>
      </w:tblGrid>
      <w:tr w:rsidR="00AD506B" w:rsidTr="001812F1">
        <w:trPr>
          <w:trHeight w:val="539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Default="00AD506B" w:rsidP="000C6C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КРИТЕРИЈУМИ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B711BA" w:rsidRDefault="00AD506B" w:rsidP="000C6C7B">
            <w:pPr>
              <w:pStyle w:val="TableParagraph"/>
              <w:rPr>
                <w:sz w:val="20"/>
                <w:szCs w:val="20"/>
              </w:rPr>
            </w:pPr>
            <w:r w:rsidRPr="00B711BA">
              <w:rPr>
                <w:sz w:val="20"/>
                <w:szCs w:val="20"/>
              </w:rPr>
              <w:t>БРОЈ ПОЕНА</w:t>
            </w:r>
          </w:p>
        </w:tc>
      </w:tr>
      <w:tr w:rsidR="00AD506B" w:rsidTr="001812F1">
        <w:trPr>
          <w:trHeight w:val="587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1812F1" w:rsidRDefault="00AD506B" w:rsidP="000C6C7B">
            <w:pPr>
              <w:pStyle w:val="TableParagraph"/>
              <w:rPr>
                <w:sz w:val="24"/>
                <w:lang w:val="ru-RU"/>
              </w:rPr>
            </w:pPr>
            <w:r w:rsidRPr="001812F1">
              <w:rPr>
                <w:sz w:val="24"/>
                <w:lang w:val="ru-RU"/>
              </w:rPr>
              <w:t>Капацитет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програма–квалитет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идеје,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допринос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побољшању</w:t>
            </w:r>
          </w:p>
          <w:p w:rsidR="00AD506B" w:rsidRDefault="00AD506B" w:rsidP="000C6C7B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квалитета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грађана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8C78AD" w:rsidRDefault="008C78AD" w:rsidP="000C6C7B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</w:tr>
      <w:tr w:rsidR="00AD506B" w:rsidTr="001812F1">
        <w:trPr>
          <w:trHeight w:val="882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1812F1" w:rsidRDefault="00AD506B" w:rsidP="000C6C7B">
            <w:pPr>
              <w:pStyle w:val="TableParagraph"/>
              <w:rPr>
                <w:sz w:val="24"/>
                <w:lang w:val="ru-RU"/>
              </w:rPr>
            </w:pPr>
            <w:r w:rsidRPr="001812F1">
              <w:rPr>
                <w:sz w:val="24"/>
                <w:lang w:val="ru-RU"/>
              </w:rPr>
              <w:t>Циљна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група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корисници–број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величина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циљне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групе,</w:t>
            </w:r>
          </w:p>
          <w:p w:rsidR="00AD506B" w:rsidRPr="001812F1" w:rsidRDefault="00AD506B" w:rsidP="000C6C7B">
            <w:pPr>
              <w:pStyle w:val="TableParagraph"/>
              <w:spacing w:before="5" w:line="290" w:lineRule="exact"/>
              <w:rPr>
                <w:sz w:val="24"/>
                <w:lang w:val="ru-RU"/>
              </w:rPr>
            </w:pPr>
            <w:r w:rsidRPr="001812F1">
              <w:rPr>
                <w:sz w:val="24"/>
                <w:lang w:val="ru-RU"/>
              </w:rPr>
              <w:t>Директних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индиректних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корисника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укључених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у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реализацију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програма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Default="00AD506B" w:rsidP="000C6C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06B" w:rsidTr="001812F1">
        <w:trPr>
          <w:trHeight w:val="294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Default="00AD506B" w:rsidP="000C6C7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Иновативност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програмске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идеје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8C78AD" w:rsidRDefault="008C78AD" w:rsidP="000C6C7B">
            <w:pPr>
              <w:pStyle w:val="TableParagraph"/>
              <w:spacing w:before="1" w:line="273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</w:tr>
      <w:tr w:rsidR="00AD506B" w:rsidTr="001812F1">
        <w:trPr>
          <w:trHeight w:val="590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1812F1" w:rsidRDefault="00AD506B" w:rsidP="000C6C7B">
            <w:pPr>
              <w:pStyle w:val="TableParagraph"/>
              <w:rPr>
                <w:sz w:val="24"/>
                <w:lang w:val="ru-RU"/>
              </w:rPr>
            </w:pPr>
            <w:r w:rsidRPr="001812F1">
              <w:rPr>
                <w:sz w:val="24"/>
                <w:lang w:val="ru-RU"/>
              </w:rPr>
              <w:t>Економска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оправданост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програма: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Да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ли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је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предложени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трошак</w:t>
            </w:r>
          </w:p>
          <w:p w:rsidR="00AD506B" w:rsidRDefault="00AD506B" w:rsidP="000C6C7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неопходан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реализацију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програма?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Default="00AD506B" w:rsidP="000C6C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06B" w:rsidTr="001812F1">
        <w:trPr>
          <w:trHeight w:val="882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1812F1" w:rsidRDefault="00AD506B" w:rsidP="000C6C7B">
            <w:pPr>
              <w:pStyle w:val="TableParagraph"/>
              <w:rPr>
                <w:sz w:val="24"/>
                <w:lang w:val="ru-RU"/>
              </w:rPr>
            </w:pPr>
            <w:r w:rsidRPr="001812F1">
              <w:rPr>
                <w:sz w:val="24"/>
                <w:lang w:val="ru-RU"/>
              </w:rPr>
              <w:t>Прецизани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детаљан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буџет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програма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који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објашњава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усклађеност</w:t>
            </w:r>
          </w:p>
          <w:p w:rsidR="00AD506B" w:rsidRDefault="00AD506B" w:rsidP="000C6C7B">
            <w:pPr>
              <w:pStyle w:val="TableParagraph"/>
              <w:spacing w:before="5" w:line="290" w:lineRule="exact"/>
              <w:ind w:right="1566"/>
              <w:rPr>
                <w:sz w:val="24"/>
                <w:lang w:val="sr-Cyrl-RS"/>
              </w:rPr>
            </w:pPr>
            <w:r w:rsidRPr="001812F1">
              <w:rPr>
                <w:sz w:val="24"/>
                <w:lang w:val="ru-RU"/>
              </w:rPr>
              <w:t>предвиђеног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трошка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са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програмским</w:t>
            </w:r>
            <w:r>
              <w:rPr>
                <w:sz w:val="24"/>
                <w:lang w:val="sr-Cyrl-RS"/>
              </w:rPr>
              <w:t xml:space="preserve"> </w:t>
            </w:r>
            <w:r w:rsidRPr="001812F1">
              <w:rPr>
                <w:sz w:val="24"/>
                <w:lang w:val="ru-RU"/>
              </w:rPr>
              <w:t>активностима</w:t>
            </w:r>
            <w:r>
              <w:rPr>
                <w:sz w:val="24"/>
                <w:lang w:val="sr-Cyrl-RS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6B" w:rsidRPr="008C78AD" w:rsidRDefault="008C78AD" w:rsidP="000C6C7B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</w:tr>
    </w:tbl>
    <w:p w:rsidR="0081698A" w:rsidRPr="0081698A" w:rsidRDefault="0081698A" w:rsidP="0081698A">
      <w:pPr>
        <w:widowControl/>
        <w:autoSpaceDE/>
        <w:autoSpaceDN/>
        <w:rPr>
          <w:rFonts w:eastAsiaTheme="minorHAnsi"/>
          <w:lang w:val="sr-Cyrl-RS"/>
        </w:rPr>
      </w:pPr>
    </w:p>
    <w:tbl>
      <w:tblPr>
        <w:tblStyle w:val="TableGrid"/>
        <w:tblpPr w:leftFromText="180" w:rightFromText="180" w:vertAnchor="text" w:tblpX="-815" w:tblpY="1"/>
        <w:tblOverlap w:val="never"/>
        <w:tblW w:w="10733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1440"/>
        <w:gridCol w:w="540"/>
        <w:gridCol w:w="450"/>
        <w:gridCol w:w="450"/>
        <w:gridCol w:w="450"/>
        <w:gridCol w:w="630"/>
        <w:gridCol w:w="540"/>
        <w:gridCol w:w="540"/>
        <w:gridCol w:w="630"/>
        <w:gridCol w:w="720"/>
        <w:gridCol w:w="900"/>
        <w:gridCol w:w="1558"/>
      </w:tblGrid>
      <w:tr w:rsidR="00C44362" w:rsidRPr="0081698A" w:rsidTr="00330617">
        <w:trPr>
          <w:gridAfter w:val="1"/>
          <w:wAfter w:w="1558" w:type="dxa"/>
          <w:trHeight w:val="70"/>
        </w:trPr>
        <w:tc>
          <w:tcPr>
            <w:tcW w:w="715" w:type="dxa"/>
            <w:vMerge w:val="restart"/>
          </w:tcPr>
          <w:p w:rsidR="00C44362" w:rsidRPr="0081698A" w:rsidRDefault="00C4436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81698A" w:rsidRDefault="00C44362" w:rsidP="00CA3BC4">
            <w:pPr>
              <w:rPr>
                <w:rFonts w:eastAsiaTheme="minorHAnsi"/>
                <w:lang w:val="sr-Cyrl-RS"/>
              </w:rPr>
            </w:pPr>
            <w:r w:rsidRPr="0081698A">
              <w:rPr>
                <w:rFonts w:eastAsiaTheme="minorHAnsi"/>
                <w:lang w:val="sr-Cyrl-RS"/>
              </w:rPr>
              <w:t>Р</w:t>
            </w:r>
            <w:r w:rsidR="009C1BE8">
              <w:rPr>
                <w:rFonts w:eastAsiaTheme="minorHAnsi"/>
                <w:lang w:val="sr-Cyrl-RS"/>
              </w:rPr>
              <w:t>.б</w:t>
            </w:r>
          </w:p>
        </w:tc>
        <w:tc>
          <w:tcPr>
            <w:tcW w:w="1170" w:type="dxa"/>
            <w:vMerge w:val="restart"/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 xml:space="preserve">Подносилац </w:t>
            </w:r>
          </w:p>
          <w:p w:rsidR="00C44362" w:rsidRPr="0081698A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пријаве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 xml:space="preserve">Назив </w:t>
            </w:r>
          </w:p>
          <w:p w:rsidR="00C44362" w:rsidRPr="0081698A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програма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4362" w:rsidRPr="0081698A" w:rsidRDefault="00C4436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Основни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4362" w:rsidRPr="0081698A" w:rsidRDefault="00C4436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Допунски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</w:tcPr>
          <w:p w:rsidR="00C44362" w:rsidRDefault="00C4436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</w:tc>
      </w:tr>
      <w:tr w:rsidR="00C44362" w:rsidRPr="00565583" w:rsidTr="00330617">
        <w:trPr>
          <w:trHeight w:val="484"/>
        </w:trPr>
        <w:tc>
          <w:tcPr>
            <w:tcW w:w="715" w:type="dxa"/>
            <w:vMerge/>
          </w:tcPr>
          <w:p w:rsidR="00C44362" w:rsidRPr="0081698A" w:rsidRDefault="00C44362" w:rsidP="00CA3BC4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vMerge/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К1</w:t>
            </w:r>
          </w:p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</w:rPr>
            </w:pPr>
          </w:p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К4</w:t>
            </w:r>
          </w:p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К5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C1BE8" w:rsidRDefault="009C1BE8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</w:p>
          <w:p w:rsidR="00C44362" w:rsidRDefault="009C1BE8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9C1BE8">
              <w:rPr>
                <w:rFonts w:eastAsiaTheme="minorHAnsi"/>
                <w:sz w:val="20"/>
                <w:szCs w:val="20"/>
                <w:lang w:val="sr-Cyrl-RS"/>
              </w:rPr>
              <w:t>Број</w:t>
            </w:r>
          </w:p>
          <w:p w:rsidR="009C1BE8" w:rsidRPr="009C1BE8" w:rsidRDefault="009C1BE8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Cyrl-RS"/>
              </w:rPr>
              <w:t>поена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Fonts w:eastAsiaTheme="minorHAnsi"/>
                <w:sz w:val="24"/>
                <w:szCs w:val="24"/>
                <w:lang w:val="sr-Cyrl-RS"/>
              </w:rPr>
              <w:t>О</w:t>
            </w:r>
          </w:p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Cyrl-RS"/>
              </w:rPr>
              <w:t>О</w:t>
            </w: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добрен</w:t>
            </w:r>
            <w:r>
              <w:rPr>
                <w:rFonts w:eastAsiaTheme="minorHAnsi"/>
                <w:sz w:val="20"/>
                <w:szCs w:val="20"/>
                <w:lang w:val="sr-Cyrl-RS"/>
              </w:rPr>
              <w:t xml:space="preserve"> износ у РСД</w:t>
            </w:r>
          </w:p>
        </w:tc>
      </w:tr>
      <w:tr w:rsidR="00C44362" w:rsidRPr="0081698A" w:rsidTr="00330617">
        <w:trPr>
          <w:trHeight w:val="510"/>
        </w:trPr>
        <w:tc>
          <w:tcPr>
            <w:tcW w:w="715" w:type="dxa"/>
            <w:vMerge/>
          </w:tcPr>
          <w:p w:rsidR="00C44362" w:rsidRPr="0081698A" w:rsidRDefault="00C4436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vMerge/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62" w:rsidRPr="00C44362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C44362">
              <w:rPr>
                <w:rFonts w:eastAsia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0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62" w:rsidRPr="0081698A" w:rsidRDefault="00C44362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44362" w:rsidRPr="0081698A" w:rsidRDefault="00C44362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  <w:sz w:val="24"/>
                <w:szCs w:val="24"/>
              </w:rPr>
            </w:pPr>
          </w:p>
        </w:tc>
      </w:tr>
      <w:tr w:rsidR="00C44362" w:rsidRPr="0081698A" w:rsidTr="00330617">
        <w:trPr>
          <w:trHeight w:val="973"/>
        </w:trPr>
        <w:tc>
          <w:tcPr>
            <w:tcW w:w="715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C44362" w:rsidP="00CA3BC4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44362" w:rsidRPr="0081698A" w:rsidRDefault="00C4436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Удружење рома“Ју ром“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4362" w:rsidRPr="0081698A" w:rsidRDefault="00AC5622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AC5622">
              <w:rPr>
                <w:rFonts w:eastAsiaTheme="minorHAnsi"/>
                <w:sz w:val="20"/>
                <w:szCs w:val="20"/>
                <w:lang w:val="sr-Cyrl-RS"/>
              </w:rPr>
              <w:t>Побољшање положаја рома на територији општине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81698A" w:rsidRDefault="00AC562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</w:t>
            </w:r>
            <w:r w:rsidR="009C1BE8">
              <w:rPr>
                <w:rFonts w:eastAsiaTheme="minorHAnsi"/>
                <w:lang w:val="sr-Cyrl-RS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AC562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81698A" w:rsidRDefault="00AC562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AC5622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44362" w:rsidRPr="009C1BE8" w:rsidRDefault="009C1BE8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BE8" w:rsidRDefault="009C1BE8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</w:p>
          <w:p w:rsidR="00C44362" w:rsidRPr="009C1BE8" w:rsidRDefault="00CA3BC4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509" w:rsidRPr="008C1509" w:rsidRDefault="009C1BE8" w:rsidP="00CA3BC4">
            <w:pPr>
              <w:widowControl/>
              <w:autoSpaceDE/>
              <w:autoSpaceDN/>
              <w:ind w:left="2818" w:hanging="357"/>
              <w:jc w:val="center"/>
              <w:rPr>
                <w:rFonts w:eastAsiaTheme="minorHAnsi"/>
                <w:lang w:val="sr-Cyrl-RS"/>
              </w:rPr>
            </w:pPr>
            <w:r w:rsidRPr="008C1509">
              <w:rPr>
                <w:rFonts w:eastAsiaTheme="minorHAnsi"/>
                <w:lang w:val="sr-Cyrl-RS"/>
              </w:rPr>
              <w:t>1</w:t>
            </w:r>
            <w:r w:rsidR="007E0C3A">
              <w:rPr>
                <w:rFonts w:eastAsiaTheme="minorHAnsi"/>
                <w:lang w:val="sr-Cyrl-RS"/>
              </w:rPr>
              <w:t>8</w:t>
            </w:r>
            <w:r w:rsidRPr="008C1509">
              <w:rPr>
                <w:rFonts w:eastAsiaTheme="minorHAnsi"/>
                <w:lang w:val="sr-Cyrl-RS"/>
              </w:rPr>
              <w:t>055</w:t>
            </w:r>
          </w:p>
          <w:p w:rsidR="00C44362" w:rsidRPr="007E0C3A" w:rsidRDefault="00CA3BC4" w:rsidP="00CA3BC4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115</w:t>
            </w:r>
            <w:r w:rsidR="008C1509" w:rsidRPr="008C1509">
              <w:rPr>
                <w:rFonts w:eastAsiaTheme="minorHAnsi"/>
                <w:lang w:val="sr-Latn-RS"/>
              </w:rPr>
              <w:t>.000</w:t>
            </w:r>
            <w:r w:rsidR="007E0C3A">
              <w:rPr>
                <w:rFonts w:eastAsiaTheme="minorHAnsi"/>
                <w:lang w:val="sr-Cyrl-RS"/>
              </w:rPr>
              <w:t>,00</w:t>
            </w:r>
          </w:p>
        </w:tc>
      </w:tr>
      <w:tr w:rsidR="00CA3BC4" w:rsidRPr="0081698A" w:rsidTr="00330617">
        <w:trPr>
          <w:trHeight w:val="973"/>
        </w:trPr>
        <w:tc>
          <w:tcPr>
            <w:tcW w:w="715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Удружење омладине општине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C4" w:rsidRDefault="00CA3BC4" w:rsidP="00CA3BC4">
            <w:pPr>
              <w:pStyle w:val="NoSpacing"/>
              <w:rPr>
                <w:rFonts w:eastAsiaTheme="minorHAnsi"/>
                <w:sz w:val="20"/>
                <w:szCs w:val="20"/>
                <w:lang w:val="sr-Cyrl-RS"/>
              </w:rPr>
            </w:pPr>
          </w:p>
          <w:p w:rsidR="00CA3BC4" w:rsidRPr="00AD506B" w:rsidRDefault="00CA3BC4" w:rsidP="00CA3BC4">
            <w:pPr>
              <w:pStyle w:val="NoSpacing"/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Cyrl-RS"/>
              </w:rPr>
              <w:t>15</w:t>
            </w:r>
            <w:r w:rsidRPr="00AD506B">
              <w:rPr>
                <w:rFonts w:eastAsiaTheme="minorHAnsi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C4" w:rsidRPr="008C1509" w:rsidRDefault="00CA3BC4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</w:rPr>
            </w:pPr>
          </w:p>
          <w:p w:rsidR="00CA3BC4" w:rsidRPr="008C1509" w:rsidRDefault="00CA3BC4" w:rsidP="00CA3BC4">
            <w:pPr>
              <w:rPr>
                <w:rFonts w:eastAsiaTheme="minorHAnsi"/>
              </w:rPr>
            </w:pPr>
          </w:p>
          <w:p w:rsidR="00CA3BC4" w:rsidRPr="00552837" w:rsidRDefault="00CA3BC4" w:rsidP="00CA3BC4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45</w:t>
            </w:r>
            <w:r w:rsidRPr="008C1509">
              <w:rPr>
                <w:rFonts w:eastAsiaTheme="minorHAnsi"/>
              </w:rPr>
              <w:t>.000</w:t>
            </w:r>
            <w:r w:rsidR="00552837">
              <w:rPr>
                <w:rFonts w:eastAsiaTheme="minorHAnsi"/>
                <w:lang w:val="sr-Cyrl-RS"/>
              </w:rPr>
              <w:t>,00</w:t>
            </w:r>
          </w:p>
        </w:tc>
      </w:tr>
      <w:tr w:rsidR="00CA3BC4" w:rsidRPr="0081698A" w:rsidTr="00330617">
        <w:trPr>
          <w:trHeight w:val="973"/>
        </w:trPr>
        <w:tc>
          <w:tcPr>
            <w:tcW w:w="715" w:type="dxa"/>
            <w:tcBorders>
              <w:bottom w:val="single" w:sz="4" w:space="0" w:color="auto"/>
            </w:tcBorders>
          </w:tcPr>
          <w:p w:rsidR="00CA3BC4" w:rsidRPr="00CA3BC4" w:rsidRDefault="00CA3BC4" w:rsidP="00CA3BC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Удружење „Сунчев зрак“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AC5622">
              <w:rPr>
                <w:rFonts w:eastAsiaTheme="minorHAnsi"/>
                <w:sz w:val="20"/>
                <w:szCs w:val="20"/>
                <w:lang w:val="sr-Cyrl-RS"/>
              </w:rPr>
              <w:t>Месец подршке и дружења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C4" w:rsidRPr="00AD506B" w:rsidRDefault="00CA3BC4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  <w:sz w:val="20"/>
                <w:szCs w:val="20"/>
              </w:rPr>
            </w:pPr>
          </w:p>
          <w:p w:rsidR="00CA3BC4" w:rsidRPr="00CA3BC4" w:rsidRDefault="00CA3BC4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C4" w:rsidRPr="008C1509" w:rsidRDefault="00CA3BC4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</w:rPr>
            </w:pPr>
          </w:p>
          <w:p w:rsidR="00CA3BC4" w:rsidRPr="00552837" w:rsidRDefault="00CA3BC4" w:rsidP="00CA3BC4">
            <w:pPr>
              <w:rPr>
                <w:rFonts w:eastAsiaTheme="minorHAnsi"/>
                <w:lang w:val="sr-Cyrl-RS"/>
              </w:rPr>
            </w:pPr>
            <w:r w:rsidRPr="008C1509">
              <w:rPr>
                <w:rFonts w:eastAsiaTheme="minorHAnsi"/>
              </w:rPr>
              <w:t>780.000</w:t>
            </w:r>
            <w:r w:rsidR="00552837">
              <w:rPr>
                <w:rFonts w:eastAsiaTheme="minorHAnsi"/>
                <w:lang w:val="sr-Cyrl-RS"/>
              </w:rPr>
              <w:t>,00</w:t>
            </w:r>
          </w:p>
        </w:tc>
      </w:tr>
      <w:tr w:rsidR="00CA3BC4" w:rsidRPr="0081698A" w:rsidTr="00330617">
        <w:trPr>
          <w:trHeight w:val="973"/>
        </w:trPr>
        <w:tc>
          <w:tcPr>
            <w:tcW w:w="715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Default="00CA3BC4" w:rsidP="00CA3BC4">
            <w:pPr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 w:rsidRPr="0081698A">
              <w:rPr>
                <w:rFonts w:eastAsiaTheme="minorHAnsi"/>
                <w:sz w:val="20"/>
                <w:szCs w:val="20"/>
                <w:lang w:val="sr-Cyrl-RS"/>
              </w:rPr>
              <w:t>Удружење пензионера општине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Style w:val="markedcontent"/>
                <w:sz w:val="20"/>
                <w:szCs w:val="20"/>
                <w:lang w:val="sr-Cyrl-RS"/>
              </w:rPr>
              <w:t>Забавимо се спортским рекреативним активностима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81698A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C4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</w:p>
          <w:p w:rsidR="00CA3BC4" w:rsidRPr="009C1BE8" w:rsidRDefault="00CA3BC4" w:rsidP="00CA3BC4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C4" w:rsidRPr="00AD506B" w:rsidRDefault="00CA3BC4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  <w:sz w:val="20"/>
                <w:szCs w:val="20"/>
              </w:rPr>
            </w:pPr>
          </w:p>
          <w:p w:rsidR="00CA3BC4" w:rsidRPr="00CA3BC4" w:rsidRDefault="00CA3BC4" w:rsidP="00CA3BC4">
            <w:pPr>
              <w:rPr>
                <w:rFonts w:eastAsiaTheme="minorHAnsi"/>
                <w:sz w:val="20"/>
                <w:szCs w:val="20"/>
                <w:lang w:val="sr-Cyrl-RS"/>
              </w:rPr>
            </w:pPr>
            <w:r>
              <w:rPr>
                <w:rFonts w:eastAsiaTheme="minorHAnsi"/>
                <w:sz w:val="20"/>
                <w:szCs w:val="20"/>
                <w:lang w:val="sr-Latn-RS"/>
              </w:rPr>
              <w:t>1</w:t>
            </w:r>
            <w:r>
              <w:rPr>
                <w:rFonts w:eastAsiaTheme="minorHAnsi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C4" w:rsidRPr="008C1509" w:rsidRDefault="00CA3BC4" w:rsidP="00CA3BC4">
            <w:pPr>
              <w:widowControl/>
              <w:autoSpaceDE/>
              <w:autoSpaceDN/>
              <w:ind w:left="2818" w:hanging="357"/>
              <w:rPr>
                <w:rFonts w:eastAsiaTheme="minorHAnsi"/>
              </w:rPr>
            </w:pPr>
          </w:p>
          <w:p w:rsidR="00CA3BC4" w:rsidRPr="008C1509" w:rsidRDefault="00CA3BC4" w:rsidP="00CA3BC4">
            <w:pPr>
              <w:rPr>
                <w:rFonts w:eastAsiaTheme="minorHAnsi"/>
              </w:rPr>
            </w:pPr>
          </w:p>
          <w:p w:rsidR="00CA3BC4" w:rsidRPr="00552837" w:rsidRDefault="00CA3BC4" w:rsidP="00CA3BC4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5</w:t>
            </w:r>
            <w:r w:rsidRPr="008C1509">
              <w:rPr>
                <w:rFonts w:eastAsiaTheme="minorHAnsi"/>
              </w:rPr>
              <w:t>0.000</w:t>
            </w:r>
            <w:r w:rsidR="00552837">
              <w:rPr>
                <w:rFonts w:eastAsiaTheme="minorHAnsi"/>
                <w:lang w:val="sr-Cyrl-RS"/>
              </w:rPr>
              <w:t>,00</w:t>
            </w:r>
          </w:p>
        </w:tc>
      </w:tr>
    </w:tbl>
    <w:p w:rsidR="00B711BA" w:rsidRPr="00AD506B" w:rsidRDefault="009A53FB" w:rsidP="00AD506B">
      <w:pPr>
        <w:widowControl/>
        <w:autoSpaceDE/>
        <w:autoSpaceDN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textWrapping" w:clear="all"/>
      </w:r>
    </w:p>
    <w:p w:rsidR="00B711BA" w:rsidRDefault="0045411F" w:rsidP="00C46DC5">
      <w:pPr>
        <w:jc w:val="both"/>
        <w:rPr>
          <w:lang w:val="sr-Cyrl-RS"/>
        </w:rPr>
      </w:pPr>
      <w:r w:rsidRPr="004E180D">
        <w:rPr>
          <w:lang w:val="sr-Cyrl-RS"/>
        </w:rPr>
        <w:t xml:space="preserve">Комисија је једногласно одлучила да се надлежном органу Општине предложи доношење </w:t>
      </w:r>
      <w:r w:rsidR="00CE3876">
        <w:rPr>
          <w:lang w:val="sr-Cyrl-RS"/>
        </w:rPr>
        <w:t xml:space="preserve">Решења </w:t>
      </w:r>
      <w:r w:rsidRPr="004E180D">
        <w:rPr>
          <w:lang w:val="sr-Cyrl-RS"/>
        </w:rPr>
        <w:t xml:space="preserve">о </w:t>
      </w:r>
      <w:r w:rsidR="00AC3B58">
        <w:rPr>
          <w:lang w:val="sr-Cyrl-RS"/>
        </w:rPr>
        <w:t>избору</w:t>
      </w:r>
      <w:r w:rsidR="00AD506B" w:rsidRPr="004E180D">
        <w:rPr>
          <w:lang w:val="sr-Cyrl-RS"/>
        </w:rPr>
        <w:t xml:space="preserve"> Програма </w:t>
      </w:r>
      <w:r w:rsidR="004A4F43" w:rsidRPr="004E180D">
        <w:rPr>
          <w:lang w:val="sr-Cyrl-RS"/>
        </w:rPr>
        <w:t>с</w:t>
      </w:r>
      <w:r w:rsidR="000172F1" w:rsidRPr="004E180D">
        <w:rPr>
          <w:lang w:val="sr-Cyrl-RS"/>
        </w:rPr>
        <w:t>а предложеним изн</w:t>
      </w:r>
      <w:r w:rsidR="00C54E32" w:rsidRPr="004E180D">
        <w:rPr>
          <w:lang w:val="sr-Cyrl-RS"/>
        </w:rPr>
        <w:t>осом средстава, путем листе ран</w:t>
      </w:r>
      <w:r w:rsidR="000172F1" w:rsidRPr="004E180D">
        <w:rPr>
          <w:lang w:val="sr-Cyrl-RS"/>
        </w:rPr>
        <w:t>гирања – предлога.</w:t>
      </w:r>
    </w:p>
    <w:p w:rsidR="00B711BA" w:rsidRDefault="00B711BA" w:rsidP="00B711BA">
      <w:pPr>
        <w:rPr>
          <w:lang w:val="sr-Cyrl-RS"/>
        </w:rPr>
      </w:pPr>
    </w:p>
    <w:p w:rsidR="00A344AA" w:rsidRDefault="00A344AA" w:rsidP="00B711BA">
      <w:pPr>
        <w:rPr>
          <w:lang w:val="sr-Cyrl-RS"/>
        </w:rPr>
      </w:pPr>
    </w:p>
    <w:p w:rsidR="00A344AA" w:rsidRDefault="00A344AA" w:rsidP="00B711BA">
      <w:pPr>
        <w:rPr>
          <w:lang w:val="sr-Cyrl-RS"/>
        </w:rPr>
      </w:pPr>
    </w:p>
    <w:p w:rsidR="00A344AA" w:rsidRDefault="00A344AA" w:rsidP="00B711BA">
      <w:pPr>
        <w:rPr>
          <w:lang w:val="sr-Cyrl-RS"/>
        </w:rPr>
      </w:pPr>
    </w:p>
    <w:p w:rsidR="00A80BC9" w:rsidRDefault="00A80BC9" w:rsidP="00AD506B">
      <w:pPr>
        <w:jc w:val="center"/>
        <w:rPr>
          <w:lang w:val="sr-Cyrl-RS"/>
        </w:rPr>
      </w:pPr>
    </w:p>
    <w:p w:rsidR="004A4F43" w:rsidRDefault="0073271B" w:rsidP="00AD506B">
      <w:pPr>
        <w:jc w:val="center"/>
        <w:rPr>
          <w:lang w:val="sr-Cyrl-RS"/>
        </w:rPr>
      </w:pPr>
      <w:r>
        <w:rPr>
          <w:lang w:val="sr-Cyrl-RS"/>
        </w:rPr>
        <w:lastRenderedPageBreak/>
        <w:t>О б р а з л о ж е њ е     п р е д л о г а:</w:t>
      </w:r>
    </w:p>
    <w:p w:rsidR="0073271B" w:rsidRDefault="0073271B" w:rsidP="00B711BA">
      <w:pPr>
        <w:rPr>
          <w:lang w:val="sr-Cyrl-RS"/>
        </w:rPr>
      </w:pPr>
    </w:p>
    <w:p w:rsidR="00756969" w:rsidRDefault="0073271B" w:rsidP="00F304EF">
      <w:pPr>
        <w:jc w:val="both"/>
        <w:rPr>
          <w:lang w:val="sr-Cyrl-RS"/>
        </w:rPr>
      </w:pPr>
      <w:r>
        <w:rPr>
          <w:lang w:val="sr-Cyrl-RS"/>
        </w:rPr>
        <w:t>Комисија је не</w:t>
      </w:r>
      <w:r w:rsidR="00C46DC5">
        <w:rPr>
          <w:lang w:val="sr-Cyrl-RS"/>
        </w:rPr>
        <w:t>посредним увидом у садржај образа</w:t>
      </w:r>
      <w:r>
        <w:rPr>
          <w:lang w:val="sr-Cyrl-RS"/>
        </w:rPr>
        <w:t>ца Пријаве на конку</w:t>
      </w:r>
      <w:r w:rsidR="00756969">
        <w:rPr>
          <w:lang w:val="sr-Cyrl-RS"/>
        </w:rPr>
        <w:t>рс, као и провером навода у исти</w:t>
      </w:r>
      <w:r>
        <w:rPr>
          <w:lang w:val="sr-Cyrl-RS"/>
        </w:rPr>
        <w:t>м утврдила да су наведени садржаји у с</w:t>
      </w:r>
      <w:r w:rsidR="00756969">
        <w:rPr>
          <w:lang w:val="sr-Cyrl-RS"/>
        </w:rPr>
        <w:t>кладу са законском регулативом.</w:t>
      </w:r>
    </w:p>
    <w:p w:rsidR="00EC1ADB" w:rsidRDefault="00626A2B" w:rsidP="00F304EF">
      <w:pPr>
        <w:jc w:val="both"/>
        <w:rPr>
          <w:lang w:val="sr-Cyrl-RS"/>
        </w:rPr>
      </w:pPr>
      <w:r>
        <w:rPr>
          <w:lang w:val="sr-Cyrl-RS"/>
        </w:rPr>
        <w:t>Провером</w:t>
      </w:r>
      <w:r w:rsidR="00756969">
        <w:rPr>
          <w:lang w:val="sr-Cyrl-RS"/>
        </w:rPr>
        <w:t xml:space="preserve"> навода из садржаја образа</w:t>
      </w:r>
      <w:r>
        <w:rPr>
          <w:lang w:val="sr-Cyrl-RS"/>
        </w:rPr>
        <w:t>ца пријава</w:t>
      </w:r>
      <w:r w:rsidR="0073271B">
        <w:rPr>
          <w:lang w:val="sr-Cyrl-RS"/>
        </w:rPr>
        <w:t xml:space="preserve">, Комисија је једногласно закључила </w:t>
      </w:r>
      <w:r w:rsidR="00756969">
        <w:rPr>
          <w:lang w:val="sr-Cyrl-RS"/>
        </w:rPr>
        <w:t>да су све пристигле пријаве на конкурс потпуно оправдане</w:t>
      </w:r>
      <w:r w:rsidR="0073271B">
        <w:rPr>
          <w:lang w:val="sr-Cyrl-RS"/>
        </w:rPr>
        <w:t xml:space="preserve">, </w:t>
      </w:r>
      <w:r w:rsidR="004506DF">
        <w:rPr>
          <w:lang w:val="sr-Cyrl-RS"/>
        </w:rPr>
        <w:t>да обухватају осетљиве групе с</w:t>
      </w:r>
      <w:r>
        <w:rPr>
          <w:lang w:val="sr-Cyrl-RS"/>
        </w:rPr>
        <w:t>т</w:t>
      </w:r>
      <w:r w:rsidR="004506DF">
        <w:rPr>
          <w:lang w:val="sr-Cyrl-RS"/>
        </w:rPr>
        <w:t>ановника на т</w:t>
      </w:r>
      <w:r>
        <w:rPr>
          <w:lang w:val="sr-Cyrl-RS"/>
        </w:rPr>
        <w:t>ери</w:t>
      </w:r>
      <w:r w:rsidR="004506DF">
        <w:rPr>
          <w:lang w:val="sr-Cyrl-RS"/>
        </w:rPr>
        <w:t>торији</w:t>
      </w:r>
      <w:r>
        <w:rPr>
          <w:lang w:val="sr-Cyrl-RS"/>
        </w:rPr>
        <w:t xml:space="preserve"> </w:t>
      </w:r>
      <w:r w:rsidR="004506DF">
        <w:rPr>
          <w:lang w:val="sr-Cyrl-RS"/>
        </w:rPr>
        <w:t>општине Ра</w:t>
      </w:r>
      <w:r>
        <w:rPr>
          <w:lang w:val="sr-Cyrl-RS"/>
        </w:rPr>
        <w:t>жањ</w:t>
      </w:r>
      <w:r w:rsidR="004F0A65">
        <w:rPr>
          <w:lang w:val="sr-Cyrl-RS"/>
        </w:rPr>
        <w:t xml:space="preserve">, да се </w:t>
      </w:r>
      <w:r w:rsidR="00F043BE">
        <w:rPr>
          <w:lang w:val="sr-Cyrl-RS"/>
        </w:rPr>
        <w:t xml:space="preserve">овим конкурсом и предвиђеним средствима </w:t>
      </w:r>
      <w:r w:rsidR="004F0A65">
        <w:rPr>
          <w:lang w:val="sr-Cyrl-RS"/>
        </w:rPr>
        <w:t xml:space="preserve">побољшавају њихови услови живота и штите њихови </w:t>
      </w:r>
      <w:r w:rsidR="00F043BE">
        <w:rPr>
          <w:lang w:val="sr-Cyrl-RS"/>
        </w:rPr>
        <w:t>интереси.</w:t>
      </w:r>
    </w:p>
    <w:p w:rsidR="0073271B" w:rsidRPr="00AC599F" w:rsidRDefault="00AC599F" w:rsidP="00F304EF">
      <w:pPr>
        <w:jc w:val="both"/>
        <w:rPr>
          <w:lang w:val="sr-Cyrl-RS"/>
        </w:rPr>
      </w:pPr>
      <w:r>
        <w:rPr>
          <w:lang w:val="sr-Cyrl-RS"/>
        </w:rPr>
        <w:t xml:space="preserve">Реализацијом програма </w:t>
      </w:r>
      <w:r w:rsidR="00B160BD" w:rsidRPr="00C94DD3">
        <w:rPr>
          <w:b/>
          <w:i/>
          <w:lang w:val="sr-Cyrl-RS"/>
        </w:rPr>
        <w:t>Удружења рома“Ју ром“,</w:t>
      </w:r>
      <w:r w:rsidR="00B160BD">
        <w:rPr>
          <w:lang w:val="sr-Cyrl-RS"/>
        </w:rPr>
        <w:t xml:space="preserve"> </w:t>
      </w:r>
      <w:r w:rsidR="00EC1ADB">
        <w:rPr>
          <w:lang w:val="sr-Cyrl-RS"/>
        </w:rPr>
        <w:t>доћи ће до веће инклузије</w:t>
      </w:r>
      <w:r>
        <w:rPr>
          <w:lang w:val="sr-Cyrl-RS"/>
        </w:rPr>
        <w:t xml:space="preserve"> рома са територије општине Ражањ, кроз организовање спортских активности</w:t>
      </w:r>
      <w:r w:rsidR="00EC1ADB">
        <w:rPr>
          <w:lang w:val="sr-Cyrl-RS"/>
        </w:rPr>
        <w:t xml:space="preserve"> и дружење са осталим </w:t>
      </w:r>
      <w:r w:rsidR="00B160BD">
        <w:rPr>
          <w:lang w:val="sr-Cyrl-RS"/>
        </w:rPr>
        <w:t xml:space="preserve">суграђанима.Програм обухвата </w:t>
      </w:r>
      <w:r w:rsidR="001A19C2">
        <w:rPr>
          <w:lang w:val="sr-Cyrl-RS"/>
        </w:rPr>
        <w:t xml:space="preserve">поред промоције спорта </w:t>
      </w:r>
      <w:r w:rsidR="00B160BD">
        <w:rPr>
          <w:lang w:val="sr-Cyrl-RS"/>
        </w:rPr>
        <w:t>и промоцију здравог начина</w:t>
      </w:r>
      <w:r w:rsidR="00C94DD3">
        <w:rPr>
          <w:lang w:val="sr-Cyrl-RS"/>
        </w:rPr>
        <w:t xml:space="preserve"> и стила</w:t>
      </w:r>
      <w:r w:rsidR="00B160BD">
        <w:rPr>
          <w:lang w:val="sr-Cyrl-RS"/>
        </w:rPr>
        <w:t xml:space="preserve"> живота</w:t>
      </w:r>
      <w:r w:rsidR="001A19C2">
        <w:rPr>
          <w:lang w:val="sr-Cyrl-RS"/>
        </w:rPr>
        <w:t>,као и већу социјализацију ромских припадни</w:t>
      </w:r>
      <w:r w:rsidR="00587B1E">
        <w:rPr>
          <w:lang w:val="sr-Cyrl-RS"/>
        </w:rPr>
        <w:t>ка са територије општине Ражањ, овим се директно утиче на побољшање квалитета живота рома.Програм обухвата роме свих узраста и полова, децу, жене и</w:t>
      </w:r>
      <w:r w:rsidR="00C94DD3">
        <w:rPr>
          <w:lang w:val="sr-Cyrl-RS"/>
        </w:rPr>
        <w:t xml:space="preserve"> </w:t>
      </w:r>
      <w:r w:rsidR="00587B1E">
        <w:rPr>
          <w:lang w:val="sr-Cyrl-RS"/>
        </w:rPr>
        <w:t>мушкарце</w:t>
      </w:r>
      <w:r w:rsidR="00C94DD3">
        <w:rPr>
          <w:lang w:val="sr-Cyrl-RS"/>
        </w:rPr>
        <w:t>, те се овај програм оцењује највишом оценом</w:t>
      </w:r>
      <w:r w:rsidR="00F5522C">
        <w:rPr>
          <w:lang w:val="sr-Cyrl-RS"/>
        </w:rPr>
        <w:t xml:space="preserve"> од стране свих чланова комисије.</w:t>
      </w:r>
    </w:p>
    <w:p w:rsidR="006D0FA4" w:rsidRDefault="00F5522C" w:rsidP="00F304EF">
      <w:pPr>
        <w:jc w:val="both"/>
        <w:rPr>
          <w:lang w:val="sr-Cyrl-RS"/>
        </w:rPr>
      </w:pPr>
      <w:r w:rsidRPr="00F5522C">
        <w:rPr>
          <w:lang w:val="sr-Cyrl-RS"/>
        </w:rPr>
        <w:t xml:space="preserve">Реализацијом програма </w:t>
      </w:r>
      <w:r w:rsidR="00064BEC">
        <w:rPr>
          <w:b/>
          <w:i/>
          <w:lang w:val="sr-Cyrl-RS"/>
        </w:rPr>
        <w:t>Удружења</w:t>
      </w:r>
      <w:r w:rsidRPr="00F5522C">
        <w:rPr>
          <w:b/>
          <w:i/>
          <w:lang w:val="sr-Cyrl-RS"/>
        </w:rPr>
        <w:t xml:space="preserve"> омладине општине Ражањ</w:t>
      </w:r>
      <w:r w:rsidRPr="00F5522C">
        <w:rPr>
          <w:lang w:val="sr-Cyrl-RS"/>
        </w:rPr>
        <w:t xml:space="preserve"> </w:t>
      </w:r>
      <w:r w:rsidR="008328C5">
        <w:rPr>
          <w:lang w:val="sr-Cyrl-RS"/>
        </w:rPr>
        <w:t>доћи ће до већег укључивања младих са територије општине Ражањ у спортске</w:t>
      </w:r>
      <w:r w:rsidRPr="00F5522C">
        <w:rPr>
          <w:lang w:val="sr-Cyrl-RS"/>
        </w:rPr>
        <w:t xml:space="preserve"> активности и дружење.Програм обухвата поред промоције спорта и промоцију здравог начина и стила живота,као и већу социјализацију </w:t>
      </w:r>
      <w:r w:rsidR="009539CB">
        <w:rPr>
          <w:lang w:val="sr-Cyrl-RS"/>
        </w:rPr>
        <w:t>младих</w:t>
      </w:r>
      <w:r w:rsidRPr="00F5522C">
        <w:rPr>
          <w:lang w:val="sr-Cyrl-RS"/>
        </w:rPr>
        <w:t xml:space="preserve"> са територије општине Ражањ, овим се директно утиче на побољшање квалитета живота </w:t>
      </w:r>
      <w:r w:rsidR="009539CB">
        <w:rPr>
          <w:lang w:val="sr-Cyrl-RS"/>
        </w:rPr>
        <w:t>младих, подизање свести о потреби да се млади баве спортом, да живе здраво, буду у покрету и да је ради психичког и физичког здрављ</w:t>
      </w:r>
      <w:r w:rsidR="00976A6F">
        <w:rPr>
          <w:lang w:val="sr-Cyrl-RS"/>
        </w:rPr>
        <w:t>а и развоја младих неопходно да се баве спортом и међусобно друже.</w:t>
      </w:r>
      <w:r w:rsidR="009539CB">
        <w:rPr>
          <w:lang w:val="sr-Cyrl-RS"/>
        </w:rPr>
        <w:t xml:space="preserve"> </w:t>
      </w:r>
      <w:r w:rsidRPr="00F5522C">
        <w:rPr>
          <w:lang w:val="sr-Cyrl-RS"/>
        </w:rPr>
        <w:t xml:space="preserve">.Програм обухвата </w:t>
      </w:r>
      <w:r w:rsidR="00976A6F">
        <w:rPr>
          <w:lang w:val="sr-Cyrl-RS"/>
        </w:rPr>
        <w:t>младе основце и сре</w:t>
      </w:r>
      <w:r w:rsidR="00064BEC">
        <w:rPr>
          <w:lang w:val="sr-Cyrl-RS"/>
        </w:rPr>
        <w:t>дњошколце, као и млађе људе до 30 година</w:t>
      </w:r>
      <w:r w:rsidRPr="00F5522C">
        <w:rPr>
          <w:lang w:val="sr-Cyrl-RS"/>
        </w:rPr>
        <w:t>, те се овај програм оцењује највишом оценом од стране свих чланова комисије.</w:t>
      </w:r>
    </w:p>
    <w:p w:rsidR="00064BEC" w:rsidRDefault="00064BEC" w:rsidP="00F304EF">
      <w:pPr>
        <w:jc w:val="both"/>
        <w:rPr>
          <w:lang w:val="sr-Cyrl-RS"/>
        </w:rPr>
      </w:pPr>
      <w:r w:rsidRPr="00064BEC">
        <w:rPr>
          <w:lang w:val="sr-Cyrl-RS"/>
        </w:rPr>
        <w:t xml:space="preserve">Реализацијом програма </w:t>
      </w:r>
      <w:r>
        <w:rPr>
          <w:b/>
          <w:i/>
          <w:lang w:val="sr-Cyrl-RS"/>
        </w:rPr>
        <w:t>Удружења</w:t>
      </w:r>
      <w:r w:rsidRPr="00064BEC">
        <w:rPr>
          <w:b/>
          <w:i/>
          <w:lang w:val="sr-Cyrl-RS"/>
        </w:rPr>
        <w:t xml:space="preserve"> „Сунчев зрак“ Ражањ </w:t>
      </w:r>
      <w:r w:rsidRPr="00064BEC">
        <w:rPr>
          <w:lang w:val="sr-Cyrl-RS"/>
        </w:rPr>
        <w:t xml:space="preserve">доћи ће до већег укључивања </w:t>
      </w:r>
      <w:r w:rsidR="00BC0542">
        <w:rPr>
          <w:lang w:val="sr-Cyrl-RS"/>
        </w:rPr>
        <w:t>старих</w:t>
      </w:r>
      <w:r w:rsidRPr="00064BEC">
        <w:rPr>
          <w:lang w:val="sr-Cyrl-RS"/>
        </w:rPr>
        <w:t xml:space="preserve"> са тер</w:t>
      </w:r>
      <w:r w:rsidR="00F40B0F">
        <w:rPr>
          <w:lang w:val="sr-Cyrl-RS"/>
        </w:rPr>
        <w:t>иторије општине Ражањ у разне</w:t>
      </w:r>
      <w:r w:rsidRPr="00064BEC">
        <w:rPr>
          <w:lang w:val="sr-Cyrl-RS"/>
        </w:rPr>
        <w:t xml:space="preserve"> активности и дружење.Програм обухвата </w:t>
      </w:r>
      <w:r w:rsidR="00F40B0F">
        <w:rPr>
          <w:lang w:val="sr-Cyrl-RS"/>
        </w:rPr>
        <w:t>дружење са старима и одраслима који живе сами</w:t>
      </w:r>
      <w:r w:rsidR="00703C08">
        <w:rPr>
          <w:lang w:val="sr-Cyrl-RS"/>
        </w:rPr>
        <w:t xml:space="preserve"> или који имају смањену могућност да сами брину о себи и социјализују се. Активности и то: </w:t>
      </w:r>
      <w:r w:rsidR="00706F26">
        <w:rPr>
          <w:lang w:val="sr-Cyrl-RS"/>
        </w:rPr>
        <w:t xml:space="preserve">креативне </w:t>
      </w:r>
      <w:r w:rsidR="00703C08">
        <w:rPr>
          <w:lang w:val="sr-Cyrl-RS"/>
        </w:rPr>
        <w:t>радионице</w:t>
      </w:r>
      <w:r w:rsidRPr="00064BEC">
        <w:rPr>
          <w:lang w:val="sr-Cyrl-RS"/>
        </w:rPr>
        <w:t>т</w:t>
      </w:r>
      <w:r w:rsidR="00706F26">
        <w:rPr>
          <w:lang w:val="sr-Cyrl-RS"/>
        </w:rPr>
        <w:t xml:space="preserve">, дан игре и дружења, друштвене игре, заједничка шетња, изложба, </w:t>
      </w:r>
      <w:r w:rsidR="00FB7021">
        <w:rPr>
          <w:lang w:val="sr-Cyrl-RS"/>
        </w:rPr>
        <w:t>обука за коришћење мобилних телефона и интернета усмерене су на побољшање психосоцијалног стања старијих особа,</w:t>
      </w:r>
      <w:r w:rsidR="00706F26">
        <w:rPr>
          <w:lang w:val="sr-Cyrl-RS"/>
        </w:rPr>
        <w:t xml:space="preserve"> </w:t>
      </w:r>
      <w:r w:rsidR="00FB7021">
        <w:rPr>
          <w:lang w:val="sr-Cyrl-RS"/>
        </w:rPr>
        <w:t>т</w:t>
      </w:r>
      <w:r w:rsidRPr="00064BEC">
        <w:rPr>
          <w:lang w:val="sr-Cyrl-RS"/>
        </w:rPr>
        <w:t>е се овај програм оцењује највишом оценом од стране свих чланова комисије</w:t>
      </w:r>
      <w:r w:rsidR="008920AE">
        <w:rPr>
          <w:lang w:val="sr-Cyrl-RS"/>
        </w:rPr>
        <w:t>.</w:t>
      </w:r>
    </w:p>
    <w:p w:rsidR="008920AE" w:rsidRDefault="008920AE" w:rsidP="00F304EF">
      <w:pPr>
        <w:jc w:val="both"/>
        <w:rPr>
          <w:lang w:val="sr-Cyrl-RS"/>
        </w:rPr>
      </w:pPr>
      <w:r w:rsidRPr="00064BEC">
        <w:rPr>
          <w:lang w:val="sr-Cyrl-RS"/>
        </w:rPr>
        <w:t xml:space="preserve">Реализацијом програма </w:t>
      </w:r>
      <w:r>
        <w:rPr>
          <w:b/>
          <w:i/>
          <w:lang w:val="sr-Cyrl-RS"/>
        </w:rPr>
        <w:t>Удружења</w:t>
      </w:r>
      <w:r w:rsidRPr="00064BEC">
        <w:rPr>
          <w:b/>
          <w:i/>
          <w:lang w:val="sr-Cyrl-RS"/>
        </w:rPr>
        <w:t xml:space="preserve"> </w:t>
      </w:r>
      <w:r w:rsidR="00330617" w:rsidRPr="00330617">
        <w:rPr>
          <w:b/>
          <w:i/>
          <w:lang w:val="sr-Cyrl-RS"/>
        </w:rPr>
        <w:t xml:space="preserve">пензионера општине Ражањ </w:t>
      </w:r>
      <w:r w:rsidRPr="00064BEC">
        <w:rPr>
          <w:lang w:val="sr-Cyrl-RS"/>
        </w:rPr>
        <w:t xml:space="preserve">доћи ће до већег укључивања </w:t>
      </w:r>
      <w:r w:rsidR="00330617">
        <w:rPr>
          <w:lang w:val="sr-Cyrl-RS"/>
        </w:rPr>
        <w:t>пензионера</w:t>
      </w:r>
      <w:r w:rsidRPr="00064BEC">
        <w:rPr>
          <w:lang w:val="sr-Cyrl-RS"/>
        </w:rPr>
        <w:t xml:space="preserve"> са тер</w:t>
      </w:r>
      <w:r>
        <w:rPr>
          <w:lang w:val="sr-Cyrl-RS"/>
        </w:rPr>
        <w:t>иторије општине Ражањ у разне</w:t>
      </w:r>
      <w:r w:rsidRPr="00064BEC">
        <w:rPr>
          <w:lang w:val="sr-Cyrl-RS"/>
        </w:rPr>
        <w:t xml:space="preserve"> </w:t>
      </w:r>
      <w:r w:rsidR="00330617">
        <w:rPr>
          <w:lang w:val="sr-Cyrl-RS"/>
        </w:rPr>
        <w:t xml:space="preserve">спотске </w:t>
      </w:r>
      <w:r w:rsidRPr="00064BEC">
        <w:rPr>
          <w:lang w:val="sr-Cyrl-RS"/>
        </w:rPr>
        <w:t xml:space="preserve">активности и дружење.Програм обухвата </w:t>
      </w:r>
      <w:r w:rsidR="008E72D6">
        <w:rPr>
          <w:lang w:val="sr-Cyrl-RS"/>
        </w:rPr>
        <w:t>спортски турнир-</w:t>
      </w:r>
      <w:r w:rsidR="00E10F3F">
        <w:rPr>
          <w:lang w:val="sr-Cyrl-RS"/>
        </w:rPr>
        <w:t>олимпијаду пензионера</w:t>
      </w:r>
      <w:r>
        <w:rPr>
          <w:lang w:val="sr-Cyrl-RS"/>
        </w:rPr>
        <w:t xml:space="preserve">. Активности </w:t>
      </w:r>
      <w:r w:rsidR="00A80BC9">
        <w:rPr>
          <w:lang w:val="sr-Cyrl-RS"/>
        </w:rPr>
        <w:t>об</w:t>
      </w:r>
      <w:r w:rsidR="008E72D6">
        <w:rPr>
          <w:lang w:val="sr-Cyrl-RS"/>
        </w:rPr>
        <w:t xml:space="preserve">ухваћене програмом </w:t>
      </w:r>
      <w:r>
        <w:rPr>
          <w:lang w:val="sr-Cyrl-RS"/>
        </w:rPr>
        <w:t xml:space="preserve"> усмерене су на побољшање психосоцијалног стања </w:t>
      </w:r>
      <w:r w:rsidR="008E72D6">
        <w:rPr>
          <w:lang w:val="sr-Cyrl-RS"/>
        </w:rPr>
        <w:t>пензионера, одржавање спортског духа екипа</w:t>
      </w:r>
      <w:r w:rsidR="00A80BC9">
        <w:rPr>
          <w:lang w:val="sr-Cyrl-RS"/>
        </w:rPr>
        <w:t xml:space="preserve"> и здравог начина живота</w:t>
      </w:r>
      <w:r>
        <w:rPr>
          <w:lang w:val="sr-Cyrl-RS"/>
        </w:rPr>
        <w:t>, т</w:t>
      </w:r>
      <w:r w:rsidRPr="00064BEC">
        <w:rPr>
          <w:lang w:val="sr-Cyrl-RS"/>
        </w:rPr>
        <w:t>е се овај програм оцењује највишом оценом од стране свих чланова комисије</w:t>
      </w:r>
      <w:r w:rsidR="00A80BC9">
        <w:rPr>
          <w:lang w:val="sr-Cyrl-RS"/>
        </w:rPr>
        <w:t>.</w:t>
      </w:r>
    </w:p>
    <w:p w:rsidR="00064BEC" w:rsidRDefault="00064BEC" w:rsidP="00F304EF">
      <w:pPr>
        <w:jc w:val="both"/>
        <w:rPr>
          <w:lang w:val="sr-Cyrl-RS"/>
        </w:rPr>
      </w:pPr>
    </w:p>
    <w:p w:rsidR="006D0FA4" w:rsidRDefault="006D0FA4" w:rsidP="00F304EF">
      <w:pPr>
        <w:jc w:val="both"/>
        <w:rPr>
          <w:lang w:val="sr-Cyrl-RS"/>
        </w:rPr>
      </w:pPr>
      <w:r>
        <w:rPr>
          <w:lang w:val="sr-Cyrl-RS"/>
        </w:rPr>
        <w:t xml:space="preserve">Комисија је констатовала </w:t>
      </w:r>
      <w:r w:rsidRPr="006D0FA4">
        <w:rPr>
          <w:lang w:val="sr-Cyrl-RS"/>
        </w:rPr>
        <w:t xml:space="preserve">да су </w:t>
      </w:r>
      <w:r>
        <w:rPr>
          <w:lang w:val="sr-Cyrl-RS"/>
        </w:rPr>
        <w:t xml:space="preserve">све достављене пријаве благовремене, као и да су </w:t>
      </w:r>
      <w:r w:rsidRPr="006D0FA4">
        <w:rPr>
          <w:lang w:val="sr-Cyrl-RS"/>
        </w:rPr>
        <w:t xml:space="preserve">достављени </w:t>
      </w:r>
      <w:r>
        <w:rPr>
          <w:lang w:val="sr-Cyrl-RS"/>
        </w:rPr>
        <w:t>сви тражени</w:t>
      </w:r>
      <w:r w:rsidRPr="006D0FA4">
        <w:rPr>
          <w:lang w:val="sr-Cyrl-RS"/>
        </w:rPr>
        <w:t xml:space="preserve"> обрасци, документа, изјаве и прилози у складу са условима конкурса, као и да су исти уредни, адекватни и прихватљиви</w:t>
      </w:r>
      <w:r w:rsidR="00900525">
        <w:rPr>
          <w:lang w:val="sr-Cyrl-RS"/>
        </w:rPr>
        <w:t>.</w:t>
      </w:r>
    </w:p>
    <w:p w:rsidR="00DB4909" w:rsidRDefault="00DB4909" w:rsidP="00F304EF">
      <w:pPr>
        <w:jc w:val="both"/>
        <w:rPr>
          <w:lang w:val="sr-Cyrl-RS"/>
        </w:rPr>
      </w:pPr>
    </w:p>
    <w:p w:rsidR="00DB4909" w:rsidRDefault="00DB4909" w:rsidP="00F304EF">
      <w:pPr>
        <w:jc w:val="both"/>
        <w:rPr>
          <w:lang w:val="sr-Cyrl-RS"/>
        </w:rPr>
      </w:pPr>
      <w:r>
        <w:rPr>
          <w:lang w:val="sr-Cyrl-RS"/>
        </w:rPr>
        <w:t xml:space="preserve">Из свега напред наведеног, </w:t>
      </w:r>
      <w:r w:rsidR="00F043BE">
        <w:rPr>
          <w:lang w:val="sr-Cyrl-RS"/>
        </w:rPr>
        <w:t>комисија констатује да су све пријаве одговарајуће и прихватљиве</w:t>
      </w:r>
      <w:r w:rsidR="00081CAF">
        <w:rPr>
          <w:lang w:val="sr-Cyrl-RS"/>
        </w:rPr>
        <w:t xml:space="preserve">, као и да се њима остварује сврха и намена самог конкурса, </w:t>
      </w:r>
      <w:r w:rsidR="00990428">
        <w:rPr>
          <w:lang w:val="sr-Cyrl-RS"/>
        </w:rPr>
        <w:t>као и да су</w:t>
      </w:r>
      <w:r w:rsidR="00081CAF">
        <w:rPr>
          <w:lang w:val="sr-Cyrl-RS"/>
        </w:rPr>
        <w:t xml:space="preserve"> средства која су </w:t>
      </w:r>
      <w:r w:rsidR="00990428">
        <w:rPr>
          <w:lang w:val="sr-Cyrl-RS"/>
        </w:rPr>
        <w:t xml:space="preserve">за ове намене опредељена </w:t>
      </w:r>
      <w:r w:rsidR="00081CAF">
        <w:rPr>
          <w:lang w:val="sr-Cyrl-RS"/>
        </w:rPr>
        <w:t>распоређена на адекватан начин свим учесницима конкурса, а у складу са потребом и бодовима које су добили.</w:t>
      </w:r>
      <w:r w:rsidR="00744238">
        <w:rPr>
          <w:lang w:val="sr-Cyrl-RS"/>
        </w:rPr>
        <w:t>Свим подносиоцима пријава додељена су тражена средства.</w:t>
      </w:r>
    </w:p>
    <w:p w:rsidR="00DB4909" w:rsidRDefault="00DB4909" w:rsidP="00DB4909">
      <w:pPr>
        <w:rPr>
          <w:lang w:val="sr-Cyrl-RS"/>
        </w:rPr>
      </w:pPr>
    </w:p>
    <w:p w:rsidR="00DB4909" w:rsidRDefault="00DB4909" w:rsidP="00DB4909">
      <w:pPr>
        <w:tabs>
          <w:tab w:val="left" w:pos="5721"/>
        </w:tabs>
        <w:rPr>
          <w:lang w:val="sr-Cyrl-RS"/>
        </w:rPr>
      </w:pPr>
      <w:r>
        <w:rPr>
          <w:lang w:val="sr-Cyrl-RS"/>
        </w:rPr>
        <w:tab/>
        <w:t xml:space="preserve">    КОМИСИЈА:</w:t>
      </w:r>
    </w:p>
    <w:p w:rsidR="00DB4909" w:rsidRDefault="00DB4909" w:rsidP="00DB4909">
      <w:pPr>
        <w:tabs>
          <w:tab w:val="left" w:pos="5721"/>
        </w:tabs>
        <w:rPr>
          <w:lang w:val="sr-Cyrl-RS"/>
        </w:rPr>
      </w:pPr>
    </w:p>
    <w:p w:rsidR="00DB4909" w:rsidRDefault="00E82870" w:rsidP="00DB4909">
      <w:pPr>
        <w:pStyle w:val="ListParagraph"/>
        <w:numPr>
          <w:ilvl w:val="0"/>
          <w:numId w:val="4"/>
        </w:numPr>
        <w:tabs>
          <w:tab w:val="left" w:pos="5721"/>
        </w:tabs>
        <w:rPr>
          <w:lang w:val="sr-Cyrl-RS"/>
        </w:rPr>
      </w:pPr>
      <w:r>
        <w:rPr>
          <w:lang w:val="sr-Cyrl-RS"/>
        </w:rPr>
        <w:t>Ивана Пејовић</w:t>
      </w:r>
      <w:r w:rsidR="00565583">
        <w:rPr>
          <w:lang w:val="sr-Cyrl-RS"/>
        </w:rPr>
        <w:t>,с.р.</w:t>
      </w:r>
    </w:p>
    <w:p w:rsidR="00DB4909" w:rsidRDefault="00DB4909" w:rsidP="00DB4909">
      <w:pPr>
        <w:pStyle w:val="ListParagraph"/>
        <w:tabs>
          <w:tab w:val="left" w:pos="5721"/>
        </w:tabs>
        <w:ind w:left="6300"/>
        <w:rPr>
          <w:lang w:val="sr-Cyrl-RS"/>
        </w:rPr>
      </w:pPr>
    </w:p>
    <w:p w:rsidR="00DB4909" w:rsidRDefault="00E82870" w:rsidP="00DB4909">
      <w:pPr>
        <w:pStyle w:val="ListParagraph"/>
        <w:numPr>
          <w:ilvl w:val="0"/>
          <w:numId w:val="4"/>
        </w:numPr>
        <w:tabs>
          <w:tab w:val="left" w:pos="5721"/>
        </w:tabs>
        <w:rPr>
          <w:lang w:val="sr-Cyrl-RS"/>
        </w:rPr>
      </w:pPr>
      <w:r>
        <w:rPr>
          <w:lang w:val="sr-Cyrl-RS"/>
        </w:rPr>
        <w:t>Марија Ракић</w:t>
      </w:r>
      <w:r w:rsidR="00565583">
        <w:rPr>
          <w:lang w:val="sr-Cyrl-RS"/>
        </w:rPr>
        <w:t>,с.р.</w:t>
      </w:r>
    </w:p>
    <w:p w:rsidR="00DB4909" w:rsidRPr="00DB4909" w:rsidRDefault="00DB4909" w:rsidP="00DB4909">
      <w:pPr>
        <w:pStyle w:val="ListParagraph"/>
        <w:rPr>
          <w:lang w:val="sr-Cyrl-RS"/>
        </w:rPr>
      </w:pPr>
    </w:p>
    <w:p w:rsidR="00661FCE" w:rsidRDefault="00E82870" w:rsidP="00DB4909">
      <w:pPr>
        <w:pStyle w:val="ListParagraph"/>
        <w:numPr>
          <w:ilvl w:val="0"/>
          <w:numId w:val="4"/>
        </w:numPr>
        <w:tabs>
          <w:tab w:val="left" w:pos="5721"/>
        </w:tabs>
        <w:rPr>
          <w:lang w:val="sr-Cyrl-RS"/>
        </w:rPr>
      </w:pPr>
      <w:r>
        <w:rPr>
          <w:lang w:val="sr-Cyrl-RS"/>
        </w:rPr>
        <w:t>Ивана Величковић</w:t>
      </w:r>
      <w:r w:rsidR="00565583">
        <w:rPr>
          <w:lang w:val="sr-Cyrl-RS"/>
        </w:rPr>
        <w:t>,с.р.</w:t>
      </w:r>
      <w:bookmarkStart w:id="0" w:name="_GoBack"/>
      <w:bookmarkEnd w:id="0"/>
    </w:p>
    <w:p w:rsidR="00DB4909" w:rsidRPr="00661FCE" w:rsidRDefault="00661FCE" w:rsidP="00661FCE">
      <w:pPr>
        <w:tabs>
          <w:tab w:val="left" w:pos="5721"/>
        </w:tabs>
        <w:rPr>
          <w:lang w:val="sr-Cyrl-RS"/>
        </w:rPr>
      </w:pPr>
      <w:r>
        <w:rPr>
          <w:lang w:val="sr-Cyrl-RS"/>
        </w:rPr>
        <w:tab/>
      </w:r>
    </w:p>
    <w:sectPr w:rsidR="00DB4909" w:rsidRPr="00661FCE" w:rsidSect="00DD6884">
      <w:pgSz w:w="11906" w:h="16838" w:code="9"/>
      <w:pgMar w:top="1417" w:right="1417" w:bottom="1417" w:left="1417" w:header="0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85" w:rsidRDefault="00D04F85" w:rsidP="009A53FB">
      <w:r>
        <w:separator/>
      </w:r>
    </w:p>
  </w:endnote>
  <w:endnote w:type="continuationSeparator" w:id="0">
    <w:p w:rsidR="00D04F85" w:rsidRDefault="00D04F85" w:rsidP="009A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85" w:rsidRDefault="00D04F85" w:rsidP="009A53FB">
      <w:r>
        <w:separator/>
      </w:r>
    </w:p>
  </w:footnote>
  <w:footnote w:type="continuationSeparator" w:id="0">
    <w:p w:rsidR="00D04F85" w:rsidRDefault="00D04F85" w:rsidP="009A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E6D"/>
    <w:multiLevelType w:val="hybridMultilevel"/>
    <w:tmpl w:val="D8F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7E7"/>
    <w:multiLevelType w:val="hybridMultilevel"/>
    <w:tmpl w:val="49246908"/>
    <w:lvl w:ilvl="0" w:tplc="02A0139A">
      <w:start w:val="1"/>
      <w:numFmt w:val="decimal"/>
      <w:lvlText w:val="%1."/>
      <w:lvlJc w:val="left"/>
      <w:pPr>
        <w:ind w:left="6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10" w:hanging="360"/>
      </w:pPr>
    </w:lvl>
    <w:lvl w:ilvl="2" w:tplc="0409001B" w:tentative="1">
      <w:start w:val="1"/>
      <w:numFmt w:val="lowerRoman"/>
      <w:lvlText w:val="%3."/>
      <w:lvlJc w:val="right"/>
      <w:pPr>
        <w:ind w:left="7530" w:hanging="180"/>
      </w:pPr>
    </w:lvl>
    <w:lvl w:ilvl="3" w:tplc="0409000F" w:tentative="1">
      <w:start w:val="1"/>
      <w:numFmt w:val="decimal"/>
      <w:lvlText w:val="%4."/>
      <w:lvlJc w:val="left"/>
      <w:pPr>
        <w:ind w:left="8250" w:hanging="360"/>
      </w:pPr>
    </w:lvl>
    <w:lvl w:ilvl="4" w:tplc="04090019" w:tentative="1">
      <w:start w:val="1"/>
      <w:numFmt w:val="lowerLetter"/>
      <w:lvlText w:val="%5."/>
      <w:lvlJc w:val="left"/>
      <w:pPr>
        <w:ind w:left="8970" w:hanging="360"/>
      </w:pPr>
    </w:lvl>
    <w:lvl w:ilvl="5" w:tplc="0409001B" w:tentative="1">
      <w:start w:val="1"/>
      <w:numFmt w:val="lowerRoman"/>
      <w:lvlText w:val="%6."/>
      <w:lvlJc w:val="right"/>
      <w:pPr>
        <w:ind w:left="9690" w:hanging="180"/>
      </w:pPr>
    </w:lvl>
    <w:lvl w:ilvl="6" w:tplc="0409000F" w:tentative="1">
      <w:start w:val="1"/>
      <w:numFmt w:val="decimal"/>
      <w:lvlText w:val="%7."/>
      <w:lvlJc w:val="left"/>
      <w:pPr>
        <w:ind w:left="10410" w:hanging="360"/>
      </w:pPr>
    </w:lvl>
    <w:lvl w:ilvl="7" w:tplc="04090019" w:tentative="1">
      <w:start w:val="1"/>
      <w:numFmt w:val="lowerLetter"/>
      <w:lvlText w:val="%8."/>
      <w:lvlJc w:val="left"/>
      <w:pPr>
        <w:ind w:left="11130" w:hanging="360"/>
      </w:pPr>
    </w:lvl>
    <w:lvl w:ilvl="8" w:tplc="0409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3" w15:restartNumberingAfterBreak="0">
    <w:nsid w:val="5B477CE3"/>
    <w:multiLevelType w:val="hybridMultilevel"/>
    <w:tmpl w:val="B680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1403"/>
    <w:multiLevelType w:val="hybridMultilevel"/>
    <w:tmpl w:val="F3BAE48A"/>
    <w:lvl w:ilvl="0" w:tplc="DED09074">
      <w:numFmt w:val="bullet"/>
      <w:lvlText w:val="•"/>
      <w:lvlJc w:val="left"/>
      <w:pPr>
        <w:ind w:left="3181" w:hanging="360"/>
      </w:pPr>
      <w:rPr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5" w15:restartNumberingAfterBreak="0">
    <w:nsid w:val="73875DF0"/>
    <w:multiLevelType w:val="hybridMultilevel"/>
    <w:tmpl w:val="6F104818"/>
    <w:lvl w:ilvl="0" w:tplc="3D483F9A">
      <w:start w:val="1"/>
      <w:numFmt w:val="decimal"/>
      <w:lvlText w:val="%1."/>
      <w:lvlJc w:val="left"/>
      <w:pPr>
        <w:ind w:left="398" w:hanging="257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 w:tplc="DED09074">
      <w:numFmt w:val="bullet"/>
      <w:lvlText w:val="•"/>
      <w:lvlJc w:val="left"/>
      <w:pPr>
        <w:ind w:left="820" w:hanging="257"/>
      </w:pPr>
      <w:rPr>
        <w:lang w:eastAsia="en-US" w:bidi="ar-SA"/>
      </w:rPr>
    </w:lvl>
    <w:lvl w:ilvl="2" w:tplc="520E71D4">
      <w:numFmt w:val="bullet"/>
      <w:lvlText w:val="•"/>
      <w:lvlJc w:val="left"/>
      <w:pPr>
        <w:ind w:left="1756" w:hanging="257"/>
      </w:pPr>
      <w:rPr>
        <w:lang w:eastAsia="en-US" w:bidi="ar-SA"/>
      </w:rPr>
    </w:lvl>
    <w:lvl w:ilvl="3" w:tplc="671CF668">
      <w:numFmt w:val="bullet"/>
      <w:lvlText w:val="•"/>
      <w:lvlJc w:val="left"/>
      <w:pPr>
        <w:ind w:left="2692" w:hanging="257"/>
      </w:pPr>
      <w:rPr>
        <w:lang w:eastAsia="en-US" w:bidi="ar-SA"/>
      </w:rPr>
    </w:lvl>
    <w:lvl w:ilvl="4" w:tplc="ABF2D366">
      <w:numFmt w:val="bullet"/>
      <w:lvlText w:val="•"/>
      <w:lvlJc w:val="left"/>
      <w:pPr>
        <w:ind w:left="3628" w:hanging="257"/>
      </w:pPr>
      <w:rPr>
        <w:lang w:eastAsia="en-US" w:bidi="ar-SA"/>
      </w:rPr>
    </w:lvl>
    <w:lvl w:ilvl="5" w:tplc="6D7A6F4A">
      <w:numFmt w:val="bullet"/>
      <w:lvlText w:val="•"/>
      <w:lvlJc w:val="left"/>
      <w:pPr>
        <w:ind w:left="4565" w:hanging="257"/>
      </w:pPr>
      <w:rPr>
        <w:lang w:eastAsia="en-US" w:bidi="ar-SA"/>
      </w:rPr>
    </w:lvl>
    <w:lvl w:ilvl="6" w:tplc="F83247B6">
      <w:numFmt w:val="bullet"/>
      <w:lvlText w:val="•"/>
      <w:lvlJc w:val="left"/>
      <w:pPr>
        <w:ind w:left="5501" w:hanging="257"/>
      </w:pPr>
      <w:rPr>
        <w:lang w:eastAsia="en-US" w:bidi="ar-SA"/>
      </w:rPr>
    </w:lvl>
    <w:lvl w:ilvl="7" w:tplc="6D667C0E">
      <w:numFmt w:val="bullet"/>
      <w:lvlText w:val="•"/>
      <w:lvlJc w:val="left"/>
      <w:pPr>
        <w:ind w:left="6437" w:hanging="257"/>
      </w:pPr>
      <w:rPr>
        <w:lang w:eastAsia="en-US" w:bidi="ar-SA"/>
      </w:rPr>
    </w:lvl>
    <w:lvl w:ilvl="8" w:tplc="A2423448">
      <w:numFmt w:val="bullet"/>
      <w:lvlText w:val="•"/>
      <w:lvlJc w:val="left"/>
      <w:pPr>
        <w:ind w:left="7373" w:hanging="257"/>
      </w:pPr>
      <w:rPr>
        <w:lang w:eastAsia="en-US" w:bidi="ar-SA"/>
      </w:rPr>
    </w:lvl>
  </w:abstractNum>
  <w:abstractNum w:abstractNumId="6" w15:restartNumberingAfterBreak="0">
    <w:nsid w:val="7E0F6929"/>
    <w:multiLevelType w:val="hybridMultilevel"/>
    <w:tmpl w:val="F824361E"/>
    <w:lvl w:ilvl="0" w:tplc="EDCA27F2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D"/>
    <w:rsid w:val="000050A1"/>
    <w:rsid w:val="000172F1"/>
    <w:rsid w:val="00051D28"/>
    <w:rsid w:val="00064BEC"/>
    <w:rsid w:val="00081CAF"/>
    <w:rsid w:val="00085F20"/>
    <w:rsid w:val="000F7A41"/>
    <w:rsid w:val="0014318C"/>
    <w:rsid w:val="00161EC7"/>
    <w:rsid w:val="001812F1"/>
    <w:rsid w:val="0019499E"/>
    <w:rsid w:val="001A19C2"/>
    <w:rsid w:val="001D0D32"/>
    <w:rsid w:val="001D28C5"/>
    <w:rsid w:val="00226625"/>
    <w:rsid w:val="0022782F"/>
    <w:rsid w:val="002317C9"/>
    <w:rsid w:val="00232A76"/>
    <w:rsid w:val="0024416D"/>
    <w:rsid w:val="00252B40"/>
    <w:rsid w:val="00254C20"/>
    <w:rsid w:val="00257DE8"/>
    <w:rsid w:val="00285596"/>
    <w:rsid w:val="002D256D"/>
    <w:rsid w:val="002F2A59"/>
    <w:rsid w:val="00302FF2"/>
    <w:rsid w:val="00315493"/>
    <w:rsid w:val="00330617"/>
    <w:rsid w:val="00356B27"/>
    <w:rsid w:val="00370AC4"/>
    <w:rsid w:val="003757A3"/>
    <w:rsid w:val="00375E03"/>
    <w:rsid w:val="00387098"/>
    <w:rsid w:val="0039004B"/>
    <w:rsid w:val="003B3369"/>
    <w:rsid w:val="003C13CE"/>
    <w:rsid w:val="004506DF"/>
    <w:rsid w:val="00450DA0"/>
    <w:rsid w:val="0045232E"/>
    <w:rsid w:val="0045411F"/>
    <w:rsid w:val="004668FB"/>
    <w:rsid w:val="004A4F43"/>
    <w:rsid w:val="004B315C"/>
    <w:rsid w:val="004E180D"/>
    <w:rsid w:val="004F0A65"/>
    <w:rsid w:val="005011FB"/>
    <w:rsid w:val="00501BBC"/>
    <w:rsid w:val="00504546"/>
    <w:rsid w:val="005079FD"/>
    <w:rsid w:val="00552837"/>
    <w:rsid w:val="00555E12"/>
    <w:rsid w:val="00565583"/>
    <w:rsid w:val="005730AC"/>
    <w:rsid w:val="00583A74"/>
    <w:rsid w:val="00587B1E"/>
    <w:rsid w:val="005A2747"/>
    <w:rsid w:val="005B1F10"/>
    <w:rsid w:val="005D438A"/>
    <w:rsid w:val="005D7E02"/>
    <w:rsid w:val="005F01F9"/>
    <w:rsid w:val="00616767"/>
    <w:rsid w:val="00626A2B"/>
    <w:rsid w:val="00661FCE"/>
    <w:rsid w:val="0067768D"/>
    <w:rsid w:val="00684F33"/>
    <w:rsid w:val="006D0FA4"/>
    <w:rsid w:val="006D7C5D"/>
    <w:rsid w:val="00703C08"/>
    <w:rsid w:val="00706762"/>
    <w:rsid w:val="00706F26"/>
    <w:rsid w:val="00722839"/>
    <w:rsid w:val="0073271B"/>
    <w:rsid w:val="00744238"/>
    <w:rsid w:val="00756969"/>
    <w:rsid w:val="007A41BD"/>
    <w:rsid w:val="007A4EAE"/>
    <w:rsid w:val="007A5EA3"/>
    <w:rsid w:val="007C4AE9"/>
    <w:rsid w:val="007E0C3A"/>
    <w:rsid w:val="007E236C"/>
    <w:rsid w:val="007F1F99"/>
    <w:rsid w:val="008030F0"/>
    <w:rsid w:val="0081666B"/>
    <w:rsid w:val="0081698A"/>
    <w:rsid w:val="008328C5"/>
    <w:rsid w:val="00834BCE"/>
    <w:rsid w:val="00840DC3"/>
    <w:rsid w:val="00844EB9"/>
    <w:rsid w:val="00886992"/>
    <w:rsid w:val="008920AE"/>
    <w:rsid w:val="00892CE5"/>
    <w:rsid w:val="008C1509"/>
    <w:rsid w:val="008C73AC"/>
    <w:rsid w:val="008C78AD"/>
    <w:rsid w:val="008E72D6"/>
    <w:rsid w:val="00900525"/>
    <w:rsid w:val="00904C19"/>
    <w:rsid w:val="0093260B"/>
    <w:rsid w:val="009335D4"/>
    <w:rsid w:val="009539CB"/>
    <w:rsid w:val="00964113"/>
    <w:rsid w:val="00976A6F"/>
    <w:rsid w:val="00990428"/>
    <w:rsid w:val="00991600"/>
    <w:rsid w:val="009A297F"/>
    <w:rsid w:val="009A4F18"/>
    <w:rsid w:val="009A53FB"/>
    <w:rsid w:val="009C1BE8"/>
    <w:rsid w:val="009E277A"/>
    <w:rsid w:val="00A3034F"/>
    <w:rsid w:val="00A344AA"/>
    <w:rsid w:val="00A62104"/>
    <w:rsid w:val="00A80BC9"/>
    <w:rsid w:val="00AB3D86"/>
    <w:rsid w:val="00AC09DB"/>
    <w:rsid w:val="00AC3B58"/>
    <w:rsid w:val="00AC5622"/>
    <w:rsid w:val="00AC599F"/>
    <w:rsid w:val="00AD506B"/>
    <w:rsid w:val="00AD5FC3"/>
    <w:rsid w:val="00AE0171"/>
    <w:rsid w:val="00B076B3"/>
    <w:rsid w:val="00B160BD"/>
    <w:rsid w:val="00B31B05"/>
    <w:rsid w:val="00B3328F"/>
    <w:rsid w:val="00B63B96"/>
    <w:rsid w:val="00B711BA"/>
    <w:rsid w:val="00BC0542"/>
    <w:rsid w:val="00BC421A"/>
    <w:rsid w:val="00BE4478"/>
    <w:rsid w:val="00C44362"/>
    <w:rsid w:val="00C4577A"/>
    <w:rsid w:val="00C46DC5"/>
    <w:rsid w:val="00C54E32"/>
    <w:rsid w:val="00C579C2"/>
    <w:rsid w:val="00C70BFA"/>
    <w:rsid w:val="00C94DD3"/>
    <w:rsid w:val="00C9678C"/>
    <w:rsid w:val="00CA3BC4"/>
    <w:rsid w:val="00CA46ED"/>
    <w:rsid w:val="00CE3876"/>
    <w:rsid w:val="00D02D80"/>
    <w:rsid w:val="00D04F85"/>
    <w:rsid w:val="00D46F76"/>
    <w:rsid w:val="00D8036D"/>
    <w:rsid w:val="00DB4909"/>
    <w:rsid w:val="00DB6CFA"/>
    <w:rsid w:val="00DD6884"/>
    <w:rsid w:val="00DE0E15"/>
    <w:rsid w:val="00E10F3F"/>
    <w:rsid w:val="00E32D6A"/>
    <w:rsid w:val="00E64E8C"/>
    <w:rsid w:val="00E82870"/>
    <w:rsid w:val="00E853F7"/>
    <w:rsid w:val="00E92F5C"/>
    <w:rsid w:val="00EC1ADB"/>
    <w:rsid w:val="00EE58C9"/>
    <w:rsid w:val="00F004A5"/>
    <w:rsid w:val="00F043BE"/>
    <w:rsid w:val="00F304EF"/>
    <w:rsid w:val="00F40B0F"/>
    <w:rsid w:val="00F5522C"/>
    <w:rsid w:val="00FB194D"/>
    <w:rsid w:val="00FB3DFC"/>
    <w:rsid w:val="00FB7021"/>
    <w:rsid w:val="00FD028B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2265"/>
  <w15:chartTrackingRefBased/>
  <w15:docId w15:val="{1E886188-1937-458E-AEFE-FB586CF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884"/>
    <w:pPr>
      <w:widowControl w:val="0"/>
      <w:autoSpaceDE w:val="0"/>
      <w:autoSpaceDN w:val="0"/>
      <w:ind w:left="0" w:firstLine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D6884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6884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DD6884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DD6884"/>
    <w:pPr>
      <w:spacing w:line="275" w:lineRule="exact"/>
      <w:ind w:left="107"/>
    </w:pPr>
  </w:style>
  <w:style w:type="character" w:customStyle="1" w:styleId="markedcontent">
    <w:name w:val="markedcontent"/>
    <w:basedOn w:val="DefaultParagraphFont"/>
    <w:rsid w:val="009A297F"/>
  </w:style>
  <w:style w:type="table" w:styleId="TableGrid">
    <w:name w:val="Table Grid"/>
    <w:basedOn w:val="TableNormal"/>
    <w:uiPriority w:val="39"/>
    <w:rsid w:val="008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3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F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3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FB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AD506B"/>
    <w:pPr>
      <w:widowControl w:val="0"/>
      <w:autoSpaceDE w:val="0"/>
      <w:autoSpaceDN w:val="0"/>
      <w:ind w:left="0" w:firstLine="0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8</cp:revision>
  <cp:lastPrinted>2025-05-13T07:54:00Z</cp:lastPrinted>
  <dcterms:created xsi:type="dcterms:W3CDTF">2025-04-28T11:57:00Z</dcterms:created>
  <dcterms:modified xsi:type="dcterms:W3CDTF">2025-05-13T07:55:00Z</dcterms:modified>
</cp:coreProperties>
</file>